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A334" w14:textId="1C8C980F" w:rsidR="00BC40BA" w:rsidRPr="009E42CD" w:rsidRDefault="00F65B92" w:rsidP="00ED6C45">
      <w:pPr>
        <w:jc w:val="left"/>
        <w:rPr>
          <w:b/>
          <w:sz w:val="28"/>
          <w:szCs w:val="28"/>
          <w:lang w:val="fr-BE"/>
        </w:rPr>
      </w:pPr>
      <w:r w:rsidRPr="00ED6C45">
        <w:rPr>
          <w:b/>
          <w:noProof/>
          <w:sz w:val="32"/>
          <w:szCs w:val="32"/>
          <w:lang w:val="nl-NL"/>
        </w:rPr>
        <mc:AlternateContent>
          <mc:Choice Requires="wpc">
            <w:drawing>
              <wp:anchor distT="0" distB="0" distL="114300" distR="114300" simplePos="0" relativeHeight="251658240"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CD64E63" id="Papier 2" o:spid="_x0000_s1026" editas="canvas" style="position:absolute;margin-left:-44.6pt;margin-top:-28.5pt;width:527.7pt;height:76.5pt;z-index:-251658240"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9E42CD" w:rsidRPr="009E42CD">
        <w:rPr>
          <w:b/>
          <w:sz w:val="32"/>
          <w:szCs w:val="32"/>
          <w:lang w:val="fr-BE"/>
        </w:rPr>
        <w:t>Moulures et gou</w:t>
      </w:r>
      <w:r w:rsidR="009E42CD">
        <w:rPr>
          <w:b/>
          <w:sz w:val="32"/>
          <w:szCs w:val="32"/>
          <w:lang w:val="fr-BE"/>
        </w:rPr>
        <w:t>lottes en PC-ABS</w:t>
      </w:r>
      <w:r w:rsidR="00ED6C45" w:rsidRPr="009E42CD">
        <w:rPr>
          <w:b/>
          <w:sz w:val="32"/>
          <w:szCs w:val="32"/>
          <w:lang w:val="fr-BE"/>
        </w:rPr>
        <w:br/>
      </w:r>
      <w:r w:rsidR="009E42CD">
        <w:rPr>
          <w:b/>
          <w:sz w:val="28"/>
          <w:szCs w:val="28"/>
          <w:lang w:val="fr-BE"/>
        </w:rPr>
        <w:t>DLP sans halogène</w:t>
      </w:r>
    </w:p>
    <w:p w14:paraId="567AF880" w14:textId="77777777" w:rsidR="00ED6C45" w:rsidRPr="009E42CD" w:rsidRDefault="00ED6C45" w:rsidP="00ED6C45">
      <w:pPr>
        <w:rPr>
          <w:lang w:val="fr-BE"/>
        </w:rPr>
      </w:pPr>
    </w:p>
    <w:p w14:paraId="50F047F0" w14:textId="406575F7" w:rsidR="00094B2D" w:rsidRPr="00BB0D10" w:rsidRDefault="00094B2D" w:rsidP="009E42CD">
      <w:pPr>
        <w:tabs>
          <w:tab w:val="left" w:pos="3402"/>
        </w:tabs>
        <w:rPr>
          <w:lang w:val="fr-BE"/>
        </w:rPr>
      </w:pPr>
    </w:p>
    <w:p w14:paraId="1E739AAA" w14:textId="77C8705A" w:rsidR="00A20467" w:rsidRPr="00A20467" w:rsidRDefault="00A20467" w:rsidP="00A20467">
      <w:pPr>
        <w:rPr>
          <w:lang w:val="fr-BE"/>
        </w:rPr>
      </w:pPr>
      <w:r w:rsidRPr="00A20467">
        <w:rPr>
          <w:lang w:val="fr-BE"/>
        </w:rPr>
        <w:t>Le profilé en matériau PC-ABS, matière sans halogène</w:t>
      </w:r>
      <w:r>
        <w:rPr>
          <w:lang w:val="fr-BE"/>
        </w:rPr>
        <w:t xml:space="preserve"> </w:t>
      </w:r>
      <w:r w:rsidRPr="00A20467">
        <w:rPr>
          <w:lang w:val="fr-BE"/>
        </w:rPr>
        <w:t xml:space="preserve">ne dégagera pas de gaz toxiques en cas d’incendie.  Le profilé aura une longueur de 2 mètres.     </w:t>
      </w:r>
    </w:p>
    <w:p w14:paraId="54012D05" w14:textId="77777777" w:rsidR="00A20467" w:rsidRPr="00A20467" w:rsidRDefault="00A20467" w:rsidP="00A20467">
      <w:pPr>
        <w:rPr>
          <w:lang w:val="fr-BE"/>
        </w:rPr>
      </w:pPr>
    </w:p>
    <w:p w14:paraId="4C28FAAC" w14:textId="77777777" w:rsidR="00A20467" w:rsidRPr="00A20467" w:rsidRDefault="00A20467" w:rsidP="00A20467">
      <w:pPr>
        <w:rPr>
          <w:lang w:val="fr-BE"/>
        </w:rPr>
      </w:pPr>
      <w:r w:rsidRPr="00A20467">
        <w:rPr>
          <w:lang w:val="fr-BE"/>
        </w:rPr>
        <w:t xml:space="preserve">Tous les accessoires de finition, comme embout d’extrémité, angle ou dérivation en T, sont issus de la même gamme et ont exactement la même couleur.  Ces éléments sont obligatoires et à prévoir par l’installateur. </w:t>
      </w:r>
    </w:p>
    <w:p w14:paraId="5B257ADD" w14:textId="77777777" w:rsidR="00A20467" w:rsidRPr="00A20467" w:rsidRDefault="00A20467" w:rsidP="00A20467">
      <w:pPr>
        <w:rPr>
          <w:lang w:val="fr-BE"/>
        </w:rPr>
      </w:pPr>
    </w:p>
    <w:p w14:paraId="47E75D15" w14:textId="3B14CE79" w:rsidR="00A20467" w:rsidRPr="00A20467" w:rsidRDefault="00A20467" w:rsidP="00A20467">
      <w:pPr>
        <w:rPr>
          <w:lang w:val="fr-BE"/>
        </w:rPr>
      </w:pPr>
      <w:r w:rsidRPr="00A20467">
        <w:rPr>
          <w:lang w:val="fr-BE"/>
        </w:rPr>
        <w:t>Le placement peut se faire verticalement ou horizontalement, comme indiqué sur les plans et dans tous les cas, conformément aux exigences R.G.I.E.</w:t>
      </w:r>
      <w:r w:rsidR="001010BA">
        <w:rPr>
          <w:lang w:val="fr-BE"/>
        </w:rPr>
        <w:t xml:space="preserve"> (</w:t>
      </w:r>
      <w:r w:rsidR="008D1081">
        <w:rPr>
          <w:lang w:val="fr-BE"/>
        </w:rPr>
        <w:t xml:space="preserve">Annexe, </w:t>
      </w:r>
      <w:r w:rsidR="008B39E5">
        <w:rPr>
          <w:lang w:val="fr-BE"/>
        </w:rPr>
        <w:t>l</w:t>
      </w:r>
      <w:r w:rsidR="008D1081">
        <w:rPr>
          <w:lang w:val="fr-BE"/>
        </w:rPr>
        <w:t>ivre 1</w:t>
      </w:r>
      <w:r w:rsidR="008B39E5">
        <w:rPr>
          <w:lang w:val="fr-BE"/>
        </w:rPr>
        <w:t> : « </w:t>
      </w:r>
      <w:r w:rsidR="008D1081">
        <w:rPr>
          <w:lang w:val="fr-BE"/>
        </w:rPr>
        <w:t>Installations à basse tension et à très basse tension</w:t>
      </w:r>
      <w:r w:rsidR="008B39E5">
        <w:rPr>
          <w:lang w:val="fr-BE"/>
        </w:rPr>
        <w:t> », a</w:t>
      </w:r>
      <w:r w:rsidR="008D1081">
        <w:rPr>
          <w:lang w:val="fr-BE"/>
        </w:rPr>
        <w:t>rticle</w:t>
      </w:r>
      <w:r w:rsidR="008B39E5">
        <w:rPr>
          <w:lang w:val="fr-BE"/>
        </w:rPr>
        <w:t xml:space="preserve"> 4.3.3.7)</w:t>
      </w:r>
      <w:r w:rsidR="001A0E2E">
        <w:rPr>
          <w:lang w:val="fr-BE"/>
        </w:rPr>
        <w:t>.</w:t>
      </w:r>
    </w:p>
    <w:p w14:paraId="11EABE95" w14:textId="77777777" w:rsidR="00A20467" w:rsidRPr="00A20467" w:rsidRDefault="00A20467" w:rsidP="00A20467">
      <w:pPr>
        <w:rPr>
          <w:lang w:val="fr-BE"/>
        </w:rPr>
      </w:pPr>
      <w:r w:rsidRPr="00A20467">
        <w:rPr>
          <w:lang w:val="fr-BE"/>
        </w:rPr>
        <w:t>Les goulottes utilisées comme plinthes doivent obligatoirement être placées avec la rehausse de la gamme.</w:t>
      </w:r>
    </w:p>
    <w:p w14:paraId="759E0655" w14:textId="77777777" w:rsidR="00A20467" w:rsidRPr="00A20467" w:rsidRDefault="00A20467" w:rsidP="00A20467">
      <w:pPr>
        <w:rPr>
          <w:lang w:val="fr-BE"/>
        </w:rPr>
      </w:pPr>
    </w:p>
    <w:p w14:paraId="4A65F186" w14:textId="77777777" w:rsidR="00A20467" w:rsidRPr="00A20467" w:rsidRDefault="00A20467" w:rsidP="00A20467">
      <w:pPr>
        <w:rPr>
          <w:lang w:val="fr-BE"/>
        </w:rPr>
      </w:pPr>
      <w:r w:rsidRPr="00A20467">
        <w:rPr>
          <w:lang w:val="fr-BE"/>
        </w:rPr>
        <w:t>La fixation se fait suivant les directives du fournisseur : soit avec de la colle, soit avec des chevilles en matériau isolant, soit avec les chevilles de fixation rapide.</w:t>
      </w:r>
    </w:p>
    <w:p w14:paraId="43EF8B41" w14:textId="77777777" w:rsidR="00A20467" w:rsidRPr="00A20467" w:rsidRDefault="00A20467" w:rsidP="00A20467">
      <w:pPr>
        <w:rPr>
          <w:lang w:val="fr-BE"/>
        </w:rPr>
      </w:pPr>
    </w:p>
    <w:p w14:paraId="0F6B5176" w14:textId="0BF83DF2" w:rsidR="009E42CD" w:rsidRDefault="00A20467" w:rsidP="00A20467">
      <w:pPr>
        <w:rPr>
          <w:lang w:val="fr-BE"/>
        </w:rPr>
      </w:pPr>
      <w:r w:rsidRPr="00A20467">
        <w:rPr>
          <w:lang w:val="fr-BE"/>
        </w:rPr>
        <w:t>Pour conserver l’indice de protection, la liaison entre deux profilés situés sur un même plan se fait à l’aide d’un joint corps</w:t>
      </w:r>
      <w:r w:rsidR="00A20578">
        <w:rPr>
          <w:lang w:val="fr-BE"/>
        </w:rPr>
        <w:t>.</w:t>
      </w:r>
    </w:p>
    <w:p w14:paraId="4D6D2795" w14:textId="6F946195" w:rsidR="00A20578" w:rsidRDefault="00A20578" w:rsidP="00A20467">
      <w:pPr>
        <w:rPr>
          <w:lang w:val="fr-BE"/>
        </w:rPr>
      </w:pPr>
    </w:p>
    <w:p w14:paraId="2A7084E5" w14:textId="0DB2E16A" w:rsidR="00A20578" w:rsidRDefault="00A20578" w:rsidP="00A20467">
      <w:pPr>
        <w:rPr>
          <w:lang w:val="fr-BE"/>
        </w:rPr>
      </w:pPr>
      <w:r w:rsidRPr="00A20578">
        <w:rPr>
          <w:lang w:val="fr-BE"/>
        </w:rPr>
        <w:t>Le système sera conforme à la norme EN 50085-2-1 et aura les caractéristiques suivantes :</w:t>
      </w:r>
    </w:p>
    <w:p w14:paraId="5D37737A" w14:textId="3355F693" w:rsidR="00A87AB0" w:rsidRDefault="00A87AB0" w:rsidP="00A20467">
      <w:pPr>
        <w:rPr>
          <w:lang w:val="fr-BE"/>
        </w:rPr>
      </w:pPr>
    </w:p>
    <w:tbl>
      <w:tblPr>
        <w:tblStyle w:val="TableGrid"/>
        <w:tblW w:w="0" w:type="auto"/>
        <w:tblLook w:val="04A0" w:firstRow="1" w:lastRow="0" w:firstColumn="1" w:lastColumn="0" w:noHBand="0" w:noVBand="1"/>
      </w:tblPr>
      <w:tblGrid>
        <w:gridCol w:w="5949"/>
        <w:gridCol w:w="4013"/>
      </w:tblGrid>
      <w:tr w:rsidR="00C91D4B" w14:paraId="4FF68019" w14:textId="77777777" w:rsidTr="00D35BBE">
        <w:trPr>
          <w:trHeight w:val="388"/>
        </w:trPr>
        <w:tc>
          <w:tcPr>
            <w:tcW w:w="5949" w:type="dxa"/>
            <w:vAlign w:val="center"/>
          </w:tcPr>
          <w:p w14:paraId="59C6D74F" w14:textId="1D0662B1" w:rsidR="00C91D4B" w:rsidRDefault="00C91D4B" w:rsidP="00C91D4B">
            <w:pPr>
              <w:jc w:val="left"/>
              <w:rPr>
                <w:lang w:val="fr-BE"/>
              </w:rPr>
            </w:pPr>
            <w:r w:rsidRPr="00927126">
              <w:rPr>
                <w:lang w:val="fr-BE"/>
              </w:rPr>
              <w:t>Résistance aux chocs pendant l’installation et l’usage</w:t>
            </w:r>
          </w:p>
        </w:tc>
        <w:tc>
          <w:tcPr>
            <w:tcW w:w="4013" w:type="dxa"/>
            <w:vAlign w:val="center"/>
          </w:tcPr>
          <w:p w14:paraId="3C3ECACA" w14:textId="660EC591" w:rsidR="00C91D4B" w:rsidRDefault="00C91D4B" w:rsidP="00C91D4B">
            <w:pPr>
              <w:jc w:val="left"/>
              <w:rPr>
                <w:lang w:val="fr-BE"/>
              </w:rPr>
            </w:pPr>
            <w:r w:rsidRPr="0077144D">
              <w:t>2.0 J</w:t>
            </w:r>
          </w:p>
        </w:tc>
      </w:tr>
      <w:tr w:rsidR="00C91D4B" w14:paraId="777496AB" w14:textId="77777777" w:rsidTr="00D35BBE">
        <w:trPr>
          <w:trHeight w:val="388"/>
        </w:trPr>
        <w:tc>
          <w:tcPr>
            <w:tcW w:w="5949" w:type="dxa"/>
            <w:vAlign w:val="center"/>
          </w:tcPr>
          <w:p w14:paraId="3E9D1B52" w14:textId="1904D7AD" w:rsidR="00C91D4B" w:rsidRDefault="00C91D4B" w:rsidP="00C91D4B">
            <w:pPr>
              <w:jc w:val="left"/>
              <w:rPr>
                <w:lang w:val="fr-BE"/>
              </w:rPr>
            </w:pPr>
            <w:r w:rsidRPr="00927126">
              <w:rPr>
                <w:lang w:val="fr-BE"/>
              </w:rPr>
              <w:t>Température minimale de stockage et de transport</w:t>
            </w:r>
          </w:p>
        </w:tc>
        <w:tc>
          <w:tcPr>
            <w:tcW w:w="4013" w:type="dxa"/>
            <w:vAlign w:val="center"/>
          </w:tcPr>
          <w:p w14:paraId="2C2DE345" w14:textId="5FBE2D88" w:rsidR="00C91D4B" w:rsidRDefault="00C91D4B" w:rsidP="00C91D4B">
            <w:pPr>
              <w:jc w:val="left"/>
              <w:rPr>
                <w:lang w:val="fr-BE"/>
              </w:rPr>
            </w:pPr>
            <w:r w:rsidRPr="0077144D">
              <w:t>-25 °C</w:t>
            </w:r>
          </w:p>
        </w:tc>
      </w:tr>
      <w:tr w:rsidR="00C91D4B" w14:paraId="1C49B47F" w14:textId="77777777" w:rsidTr="00D35BBE">
        <w:trPr>
          <w:trHeight w:val="388"/>
        </w:trPr>
        <w:tc>
          <w:tcPr>
            <w:tcW w:w="5949" w:type="dxa"/>
            <w:vAlign w:val="center"/>
          </w:tcPr>
          <w:p w14:paraId="4EC51EB3" w14:textId="69D2C43D" w:rsidR="00C91D4B" w:rsidRDefault="00C91D4B" w:rsidP="00C91D4B">
            <w:pPr>
              <w:jc w:val="left"/>
              <w:rPr>
                <w:lang w:val="fr-BE"/>
              </w:rPr>
            </w:pPr>
            <w:r w:rsidRPr="00927126">
              <w:rPr>
                <w:lang w:val="fr-BE"/>
              </w:rPr>
              <w:t>Température minimale d’installation et d’usage</w:t>
            </w:r>
          </w:p>
        </w:tc>
        <w:tc>
          <w:tcPr>
            <w:tcW w:w="4013" w:type="dxa"/>
            <w:vAlign w:val="center"/>
          </w:tcPr>
          <w:p w14:paraId="7B37872D" w14:textId="1DE59CCA" w:rsidR="00C91D4B" w:rsidRDefault="00C91D4B" w:rsidP="00C91D4B">
            <w:pPr>
              <w:jc w:val="left"/>
              <w:rPr>
                <w:lang w:val="fr-BE"/>
              </w:rPr>
            </w:pPr>
            <w:r w:rsidRPr="0077144D">
              <w:t>+15°C</w:t>
            </w:r>
          </w:p>
        </w:tc>
      </w:tr>
      <w:tr w:rsidR="00C91D4B" w14:paraId="02141E2A" w14:textId="77777777" w:rsidTr="00D35BBE">
        <w:trPr>
          <w:trHeight w:val="388"/>
        </w:trPr>
        <w:tc>
          <w:tcPr>
            <w:tcW w:w="5949" w:type="dxa"/>
            <w:vAlign w:val="center"/>
          </w:tcPr>
          <w:p w14:paraId="529E3C62" w14:textId="55BF416F" w:rsidR="00C91D4B" w:rsidRDefault="00C91D4B" w:rsidP="00C91D4B">
            <w:pPr>
              <w:jc w:val="left"/>
              <w:rPr>
                <w:lang w:val="fr-BE"/>
              </w:rPr>
            </w:pPr>
            <w:r w:rsidRPr="005C412D">
              <w:t>Température maximale d’usage</w:t>
            </w:r>
          </w:p>
        </w:tc>
        <w:tc>
          <w:tcPr>
            <w:tcW w:w="4013" w:type="dxa"/>
            <w:vAlign w:val="center"/>
          </w:tcPr>
          <w:p w14:paraId="1B7F6A0C" w14:textId="0CBCB7D2" w:rsidR="00C91D4B" w:rsidRDefault="00C91D4B" w:rsidP="00C91D4B">
            <w:pPr>
              <w:jc w:val="left"/>
              <w:rPr>
                <w:lang w:val="fr-BE"/>
              </w:rPr>
            </w:pPr>
            <w:r w:rsidRPr="0077144D">
              <w:t>+60 °C</w:t>
            </w:r>
          </w:p>
        </w:tc>
      </w:tr>
      <w:tr w:rsidR="00C91D4B" w14:paraId="6C10F86D" w14:textId="77777777" w:rsidTr="00D35BBE">
        <w:trPr>
          <w:trHeight w:val="388"/>
        </w:trPr>
        <w:tc>
          <w:tcPr>
            <w:tcW w:w="5949" w:type="dxa"/>
            <w:vAlign w:val="center"/>
          </w:tcPr>
          <w:p w14:paraId="58D5CF87" w14:textId="253E2108" w:rsidR="00C91D4B" w:rsidRDefault="00C91D4B" w:rsidP="00C91D4B">
            <w:pPr>
              <w:jc w:val="left"/>
              <w:rPr>
                <w:lang w:val="fr-BE"/>
              </w:rPr>
            </w:pPr>
            <w:r w:rsidRPr="00927126">
              <w:rPr>
                <w:lang w:val="fr-BE"/>
              </w:rPr>
              <w:t>Résistance à la propagation de la flamme</w:t>
            </w:r>
          </w:p>
        </w:tc>
        <w:tc>
          <w:tcPr>
            <w:tcW w:w="4013" w:type="dxa"/>
            <w:vAlign w:val="center"/>
          </w:tcPr>
          <w:p w14:paraId="1D875693" w14:textId="3EE49CE0" w:rsidR="00C91D4B" w:rsidRDefault="00C91D4B" w:rsidP="00C91D4B">
            <w:pPr>
              <w:jc w:val="left"/>
              <w:rPr>
                <w:lang w:val="fr-BE"/>
              </w:rPr>
            </w:pPr>
            <w:r w:rsidRPr="0077144D">
              <w:t xml:space="preserve">Non propagateur </w:t>
            </w:r>
          </w:p>
        </w:tc>
      </w:tr>
      <w:tr w:rsidR="00C91D4B" w14:paraId="4E9AFEC7" w14:textId="77777777" w:rsidTr="00D35BBE">
        <w:trPr>
          <w:trHeight w:val="388"/>
        </w:trPr>
        <w:tc>
          <w:tcPr>
            <w:tcW w:w="5949" w:type="dxa"/>
            <w:vAlign w:val="center"/>
          </w:tcPr>
          <w:p w14:paraId="6217622F" w14:textId="5B860459" w:rsidR="00C91D4B" w:rsidRDefault="00C91D4B" w:rsidP="00C91D4B">
            <w:pPr>
              <w:jc w:val="left"/>
              <w:rPr>
                <w:lang w:val="fr-BE"/>
              </w:rPr>
            </w:pPr>
            <w:r w:rsidRPr="005C412D">
              <w:t>Continuité électrique</w:t>
            </w:r>
          </w:p>
        </w:tc>
        <w:tc>
          <w:tcPr>
            <w:tcW w:w="4013" w:type="dxa"/>
            <w:vAlign w:val="center"/>
          </w:tcPr>
          <w:p w14:paraId="361E9731" w14:textId="63630FF2" w:rsidR="00C91D4B" w:rsidRDefault="00C91D4B" w:rsidP="00C91D4B">
            <w:pPr>
              <w:jc w:val="left"/>
              <w:rPr>
                <w:lang w:val="fr-BE"/>
              </w:rPr>
            </w:pPr>
            <w:r w:rsidRPr="0077144D">
              <w:t>Sans continuité</w:t>
            </w:r>
          </w:p>
        </w:tc>
      </w:tr>
      <w:tr w:rsidR="00C91D4B" w14:paraId="3A1AA54B" w14:textId="77777777" w:rsidTr="00D35BBE">
        <w:trPr>
          <w:trHeight w:val="388"/>
        </w:trPr>
        <w:tc>
          <w:tcPr>
            <w:tcW w:w="5949" w:type="dxa"/>
            <w:vAlign w:val="center"/>
          </w:tcPr>
          <w:p w14:paraId="2B2CF92D" w14:textId="3F61BF5F" w:rsidR="00C91D4B" w:rsidRDefault="00C91D4B" w:rsidP="00C91D4B">
            <w:pPr>
              <w:jc w:val="left"/>
              <w:rPr>
                <w:lang w:val="fr-BE"/>
              </w:rPr>
            </w:pPr>
            <w:r w:rsidRPr="005C412D">
              <w:t>Isolement électrique</w:t>
            </w:r>
          </w:p>
        </w:tc>
        <w:tc>
          <w:tcPr>
            <w:tcW w:w="4013" w:type="dxa"/>
            <w:vAlign w:val="center"/>
          </w:tcPr>
          <w:p w14:paraId="776007DD" w14:textId="6A679732" w:rsidR="00C91D4B" w:rsidRDefault="00C91D4B" w:rsidP="00C91D4B">
            <w:pPr>
              <w:jc w:val="left"/>
              <w:rPr>
                <w:lang w:val="fr-BE"/>
              </w:rPr>
            </w:pPr>
            <w:r w:rsidRPr="0077144D">
              <w:t>Electriquement isolant</w:t>
            </w:r>
          </w:p>
        </w:tc>
      </w:tr>
      <w:tr w:rsidR="00C91D4B" w14:paraId="10B81195" w14:textId="77777777" w:rsidTr="00D35BBE">
        <w:trPr>
          <w:trHeight w:val="388"/>
        </w:trPr>
        <w:tc>
          <w:tcPr>
            <w:tcW w:w="5949" w:type="dxa"/>
            <w:vAlign w:val="center"/>
          </w:tcPr>
          <w:p w14:paraId="2B43F967" w14:textId="23F76EB7" w:rsidR="00C91D4B" w:rsidRDefault="00C91D4B" w:rsidP="00C91D4B">
            <w:pPr>
              <w:jc w:val="left"/>
              <w:rPr>
                <w:lang w:val="fr-BE"/>
              </w:rPr>
            </w:pPr>
            <w:r w:rsidRPr="00927126">
              <w:rPr>
                <w:lang w:val="fr-BE"/>
              </w:rPr>
              <w:t>Degré de protection de l’enveloppe</w:t>
            </w:r>
          </w:p>
        </w:tc>
        <w:tc>
          <w:tcPr>
            <w:tcW w:w="4013" w:type="dxa"/>
            <w:vAlign w:val="center"/>
          </w:tcPr>
          <w:p w14:paraId="69C39F02" w14:textId="6F3D48CA" w:rsidR="00C91D4B" w:rsidRDefault="00C91D4B" w:rsidP="00C91D4B">
            <w:pPr>
              <w:jc w:val="left"/>
              <w:rPr>
                <w:lang w:val="fr-BE"/>
              </w:rPr>
            </w:pPr>
            <w:r w:rsidRPr="0077144D">
              <w:t xml:space="preserve">IP </w:t>
            </w:r>
            <w:r w:rsidR="00645BD6">
              <w:t>3XD</w:t>
            </w:r>
          </w:p>
        </w:tc>
      </w:tr>
      <w:tr w:rsidR="00AD7AEE" w:rsidRPr="00AD7AEE" w14:paraId="751BECFB" w14:textId="77777777" w:rsidTr="00AD7AEE">
        <w:trPr>
          <w:trHeight w:val="388"/>
        </w:trPr>
        <w:tc>
          <w:tcPr>
            <w:tcW w:w="5949" w:type="dxa"/>
            <w:vAlign w:val="center"/>
          </w:tcPr>
          <w:p w14:paraId="420319AB" w14:textId="2C0CA5A1" w:rsidR="00AD7AEE" w:rsidRPr="00927126" w:rsidRDefault="00AD7AEE" w:rsidP="00AD7AEE">
            <w:pPr>
              <w:jc w:val="left"/>
              <w:rPr>
                <w:lang w:val="fr-BE"/>
              </w:rPr>
            </w:pPr>
            <w:r w:rsidRPr="00806359">
              <w:t>Mode d’ouverture</w:t>
            </w:r>
          </w:p>
        </w:tc>
        <w:tc>
          <w:tcPr>
            <w:tcW w:w="4013" w:type="dxa"/>
            <w:vAlign w:val="center"/>
          </w:tcPr>
          <w:p w14:paraId="0BFC9CE6" w14:textId="7C3AE5A1" w:rsidR="00AD7AEE" w:rsidRPr="00AD7AEE" w:rsidRDefault="00AD7AEE" w:rsidP="00AD7AEE">
            <w:pPr>
              <w:jc w:val="left"/>
              <w:rPr>
                <w:lang w:val="fr-BE"/>
              </w:rPr>
            </w:pPr>
            <w:r w:rsidRPr="00806359">
              <w:t>Avec outil</w:t>
            </w:r>
          </w:p>
        </w:tc>
      </w:tr>
      <w:tr w:rsidR="00AD7AEE" w:rsidRPr="00AD7AEE" w14:paraId="49D2CB33" w14:textId="77777777" w:rsidTr="00AD7AEE">
        <w:trPr>
          <w:trHeight w:val="388"/>
        </w:trPr>
        <w:tc>
          <w:tcPr>
            <w:tcW w:w="5949" w:type="dxa"/>
            <w:vAlign w:val="center"/>
          </w:tcPr>
          <w:p w14:paraId="41A95A0A" w14:textId="7A885103" w:rsidR="00AD7AEE" w:rsidRPr="00927126" w:rsidRDefault="00AD7AEE" w:rsidP="00AD7AEE">
            <w:pPr>
              <w:jc w:val="left"/>
              <w:rPr>
                <w:lang w:val="fr-BE"/>
              </w:rPr>
            </w:pPr>
            <w:r w:rsidRPr="00806359">
              <w:t>Conditions d’installation</w:t>
            </w:r>
          </w:p>
        </w:tc>
        <w:tc>
          <w:tcPr>
            <w:tcW w:w="4013" w:type="dxa"/>
            <w:vAlign w:val="center"/>
          </w:tcPr>
          <w:p w14:paraId="18EFFD3D" w14:textId="5A98E649" w:rsidR="00AD7AEE" w:rsidRPr="00AD7AEE" w:rsidRDefault="00AD7AEE" w:rsidP="00AD7AEE">
            <w:pPr>
              <w:jc w:val="left"/>
              <w:rPr>
                <w:lang w:val="fr-BE"/>
              </w:rPr>
            </w:pPr>
            <w:r w:rsidRPr="00806359">
              <w:t>Fixé au mur</w:t>
            </w:r>
          </w:p>
        </w:tc>
      </w:tr>
      <w:tr w:rsidR="00AD7AEE" w:rsidRPr="00AD7AEE" w14:paraId="2D0CD9B7" w14:textId="77777777" w:rsidTr="00AD7AEE">
        <w:trPr>
          <w:trHeight w:val="388"/>
        </w:trPr>
        <w:tc>
          <w:tcPr>
            <w:tcW w:w="5949" w:type="dxa"/>
            <w:vAlign w:val="center"/>
          </w:tcPr>
          <w:p w14:paraId="292B8360" w14:textId="36C764A6" w:rsidR="00AD7AEE" w:rsidRPr="00927126" w:rsidRDefault="00AD7AEE" w:rsidP="00AD7AEE">
            <w:pPr>
              <w:jc w:val="left"/>
              <w:rPr>
                <w:lang w:val="fr-BE"/>
              </w:rPr>
            </w:pPr>
            <w:r w:rsidRPr="00806359">
              <w:t>Tension assignée</w:t>
            </w:r>
          </w:p>
        </w:tc>
        <w:tc>
          <w:tcPr>
            <w:tcW w:w="4013" w:type="dxa"/>
            <w:vAlign w:val="center"/>
          </w:tcPr>
          <w:p w14:paraId="055BC7CE" w14:textId="1A6CFDE3" w:rsidR="00AD7AEE" w:rsidRPr="00AD7AEE" w:rsidRDefault="00AD7AEE" w:rsidP="00AD7AEE">
            <w:pPr>
              <w:jc w:val="left"/>
              <w:rPr>
                <w:lang w:val="fr-BE"/>
              </w:rPr>
            </w:pPr>
            <w:r w:rsidRPr="00806359">
              <w:t>500 V</w:t>
            </w:r>
          </w:p>
        </w:tc>
      </w:tr>
      <w:tr w:rsidR="00AD7AEE" w:rsidRPr="00AD7AEE" w14:paraId="2DFF0C8F" w14:textId="77777777" w:rsidTr="00AD7AEE">
        <w:trPr>
          <w:trHeight w:val="388"/>
        </w:trPr>
        <w:tc>
          <w:tcPr>
            <w:tcW w:w="5949" w:type="dxa"/>
            <w:vAlign w:val="center"/>
          </w:tcPr>
          <w:p w14:paraId="4EF5046E" w14:textId="6254AF2D" w:rsidR="00AD7AEE" w:rsidRPr="00927126" w:rsidRDefault="00AD7AEE" w:rsidP="00AD7AEE">
            <w:pPr>
              <w:jc w:val="left"/>
              <w:rPr>
                <w:lang w:val="fr-BE"/>
              </w:rPr>
            </w:pPr>
            <w:r w:rsidRPr="00AD7AEE">
              <w:rPr>
                <w:lang w:val="fr-BE"/>
              </w:rPr>
              <w:t>Protection contre les chocs mécaniques</w:t>
            </w:r>
          </w:p>
        </w:tc>
        <w:tc>
          <w:tcPr>
            <w:tcW w:w="4013" w:type="dxa"/>
            <w:vAlign w:val="center"/>
          </w:tcPr>
          <w:p w14:paraId="28B7CB4D" w14:textId="65D136A6" w:rsidR="00AD7AEE" w:rsidRPr="00AD7AEE" w:rsidRDefault="00AD7AEE" w:rsidP="00AD7AEE">
            <w:pPr>
              <w:jc w:val="left"/>
              <w:rPr>
                <w:lang w:val="fr-BE"/>
              </w:rPr>
            </w:pPr>
            <w:r w:rsidRPr="00806359">
              <w:t>IK 07</w:t>
            </w:r>
          </w:p>
        </w:tc>
      </w:tr>
    </w:tbl>
    <w:p w14:paraId="03E1246C" w14:textId="33FB7055" w:rsidR="00A87AB0" w:rsidRDefault="00A87AB0" w:rsidP="00A20467">
      <w:pPr>
        <w:rPr>
          <w:lang w:val="fr-BE"/>
        </w:rPr>
      </w:pPr>
    </w:p>
    <w:p w14:paraId="35A64378" w14:textId="77777777" w:rsidR="00646C80" w:rsidRDefault="00646C80">
      <w:pPr>
        <w:autoSpaceDE/>
        <w:autoSpaceDN/>
        <w:adjustRightInd/>
        <w:spacing w:after="200"/>
        <w:jc w:val="left"/>
        <w:rPr>
          <w:lang w:val="fr-BE"/>
        </w:rPr>
      </w:pPr>
      <w:r>
        <w:rPr>
          <w:lang w:val="fr-BE"/>
        </w:rPr>
        <w:br w:type="page"/>
      </w:r>
    </w:p>
    <w:p w14:paraId="4B108CF4" w14:textId="46771B80" w:rsidR="00646C80" w:rsidRPr="00646C80" w:rsidRDefault="00646C80" w:rsidP="00646C80">
      <w:pPr>
        <w:rPr>
          <w:lang w:val="fr-BE"/>
        </w:rPr>
      </w:pPr>
      <w:r w:rsidRPr="00646C80">
        <w:rPr>
          <w:lang w:val="fr-BE"/>
        </w:rPr>
        <w:lastRenderedPageBreak/>
        <w:t>Les dimensions possibles sont</w:t>
      </w:r>
      <w:r>
        <w:rPr>
          <w:lang w:val="fr-BE"/>
        </w:rPr>
        <w:t xml:space="preserve"> </w:t>
      </w:r>
      <w:r w:rsidRPr="00646C80">
        <w:rPr>
          <w:lang w:val="fr-BE"/>
        </w:rPr>
        <w:t>:</w:t>
      </w:r>
    </w:p>
    <w:p w14:paraId="703C4AEB" w14:textId="3B5603F2" w:rsidR="00646C80" w:rsidRPr="00646C80" w:rsidRDefault="00646C80" w:rsidP="00646C80">
      <w:pPr>
        <w:pStyle w:val="ListParagraph"/>
        <w:numPr>
          <w:ilvl w:val="0"/>
          <w:numId w:val="21"/>
        </w:numPr>
        <w:rPr>
          <w:lang w:val="fr-BE"/>
        </w:rPr>
      </w:pPr>
      <w:r w:rsidRPr="00646C80">
        <w:rPr>
          <w:lang w:val="fr-BE"/>
        </w:rPr>
        <w:t>25 x 25 mm, en blanc</w:t>
      </w:r>
    </w:p>
    <w:p w14:paraId="5413087D" w14:textId="6DE21CEC" w:rsidR="00646C80" w:rsidRPr="00646C80" w:rsidRDefault="00646C80" w:rsidP="00646C80">
      <w:pPr>
        <w:pStyle w:val="ListParagraph"/>
        <w:numPr>
          <w:ilvl w:val="0"/>
          <w:numId w:val="21"/>
        </w:numPr>
        <w:rPr>
          <w:lang w:val="fr-BE"/>
        </w:rPr>
      </w:pPr>
      <w:r w:rsidRPr="00646C80">
        <w:rPr>
          <w:lang w:val="fr-BE"/>
        </w:rPr>
        <w:t>25 x 40 mm, en blanc</w:t>
      </w:r>
    </w:p>
    <w:p w14:paraId="79398BA2" w14:textId="167C8AEA" w:rsidR="00646C80" w:rsidRPr="00646C80" w:rsidRDefault="00646C80" w:rsidP="00646C80">
      <w:pPr>
        <w:pStyle w:val="ListParagraph"/>
        <w:numPr>
          <w:ilvl w:val="0"/>
          <w:numId w:val="21"/>
        </w:numPr>
        <w:rPr>
          <w:lang w:val="fr-BE"/>
        </w:rPr>
      </w:pPr>
      <w:r w:rsidRPr="00646C80">
        <w:rPr>
          <w:lang w:val="fr-BE"/>
        </w:rPr>
        <w:t>40 x 60 mm, en blanc</w:t>
      </w:r>
    </w:p>
    <w:p w14:paraId="2FAEB918" w14:textId="42E9EC2E" w:rsidR="00646C80" w:rsidRPr="00646C80" w:rsidRDefault="00646C80" w:rsidP="00646C80">
      <w:pPr>
        <w:pStyle w:val="ListParagraph"/>
        <w:numPr>
          <w:ilvl w:val="0"/>
          <w:numId w:val="21"/>
        </w:numPr>
        <w:rPr>
          <w:lang w:val="fr-BE"/>
        </w:rPr>
      </w:pPr>
      <w:r w:rsidRPr="00646C80">
        <w:rPr>
          <w:lang w:val="fr-BE"/>
        </w:rPr>
        <w:t>50 x 85 mm, en blanc</w:t>
      </w:r>
    </w:p>
    <w:p w14:paraId="5CFF8F48" w14:textId="23166AE4" w:rsidR="00646C80" w:rsidRPr="00646C80" w:rsidRDefault="00646C80" w:rsidP="00646C80">
      <w:pPr>
        <w:pStyle w:val="ListParagraph"/>
        <w:numPr>
          <w:ilvl w:val="0"/>
          <w:numId w:val="21"/>
        </w:numPr>
        <w:rPr>
          <w:lang w:val="fr-BE"/>
        </w:rPr>
      </w:pPr>
      <w:r w:rsidRPr="00646C80">
        <w:rPr>
          <w:lang w:val="fr-BE"/>
        </w:rPr>
        <w:t>50 x 100 mm, en blanc</w:t>
      </w:r>
    </w:p>
    <w:p w14:paraId="53289486" w14:textId="2E0F7FED" w:rsidR="00646C80" w:rsidRPr="00646C80" w:rsidRDefault="00646C80" w:rsidP="00646C80">
      <w:pPr>
        <w:pStyle w:val="ListParagraph"/>
        <w:numPr>
          <w:ilvl w:val="0"/>
          <w:numId w:val="21"/>
        </w:numPr>
        <w:rPr>
          <w:lang w:val="fr-BE"/>
        </w:rPr>
      </w:pPr>
      <w:r w:rsidRPr="00646C80">
        <w:rPr>
          <w:lang w:val="fr-BE"/>
        </w:rPr>
        <w:t>50 x 130 mm, en blanc</w:t>
      </w:r>
    </w:p>
    <w:p w14:paraId="027B29D5" w14:textId="77777777" w:rsidR="00646C80" w:rsidRDefault="00646C80" w:rsidP="00646C80">
      <w:pPr>
        <w:pStyle w:val="ListParagraph"/>
        <w:numPr>
          <w:ilvl w:val="0"/>
          <w:numId w:val="21"/>
        </w:numPr>
        <w:rPr>
          <w:lang w:val="fr-BE"/>
        </w:rPr>
      </w:pPr>
      <w:r w:rsidRPr="00646C80">
        <w:rPr>
          <w:lang w:val="fr-BE"/>
        </w:rPr>
        <w:t xml:space="preserve">50 x 190 mm à 2 compartiments en blanc avec cloison de fractionnement intégrée. </w:t>
      </w:r>
    </w:p>
    <w:p w14:paraId="11D1A461" w14:textId="77777777" w:rsidR="00646C80" w:rsidRDefault="00646C80" w:rsidP="00646C80">
      <w:pPr>
        <w:rPr>
          <w:lang w:val="fr-BE"/>
        </w:rPr>
      </w:pPr>
    </w:p>
    <w:p w14:paraId="45DC6AB4" w14:textId="329BCEB1" w:rsidR="00646C80" w:rsidRPr="00646C80" w:rsidRDefault="00646C80" w:rsidP="00646C80">
      <w:pPr>
        <w:rPr>
          <w:lang w:val="fr-BE"/>
        </w:rPr>
      </w:pPr>
      <w:r w:rsidRPr="00646C80">
        <w:rPr>
          <w:lang w:val="fr-BE"/>
        </w:rPr>
        <w:t xml:space="preserve">Tous les mécanismes fixés dans le support seront de la même gamme.  La fixation des mécanismes se fait par un simple </w:t>
      </w:r>
      <w:proofErr w:type="spellStart"/>
      <w:r w:rsidRPr="00646C80">
        <w:rPr>
          <w:lang w:val="fr-BE"/>
        </w:rPr>
        <w:t>enclipsage</w:t>
      </w:r>
      <w:proofErr w:type="spellEnd"/>
      <w:r w:rsidRPr="00646C80">
        <w:rPr>
          <w:lang w:val="fr-BE"/>
        </w:rPr>
        <w:t xml:space="preserve"> sur le support. Pour avoir une installation conforme aux normes, avec une tenue à l’arrachement correcte.  La plaque de finition du support recouvre le couvercle afin de garantir une parfaite finition. Etant donné que les dimensions de tous les mécanismes sont standardisées, il est possible d’en placer plusieurs, les uns à côté des autres, comme des interrupteurs, des prises, des prises RJ45 ou autres, dans un même support.</w:t>
      </w:r>
    </w:p>
    <w:p w14:paraId="33F6632B" w14:textId="77777777" w:rsidR="00646C80" w:rsidRPr="00646C80" w:rsidRDefault="00646C80" w:rsidP="00646C80">
      <w:pPr>
        <w:rPr>
          <w:lang w:val="fr-BE"/>
        </w:rPr>
      </w:pPr>
      <w:r w:rsidRPr="00646C80">
        <w:rPr>
          <w:lang w:val="fr-BE"/>
        </w:rPr>
        <w:t>Les prises sont prévues avec des connexions latérales.  Ce raccordement bilatéral permet un placement simple et rapide.  Pour les prises doubles ou triples on utilise les mécanismes précâblés (pontage déjà effectué).</w:t>
      </w:r>
    </w:p>
    <w:p w14:paraId="50114B83" w14:textId="0E47320E" w:rsidR="00646C80" w:rsidRPr="00A20467" w:rsidRDefault="00646C80" w:rsidP="00646C80">
      <w:pPr>
        <w:rPr>
          <w:lang w:val="fr-BE"/>
        </w:rPr>
      </w:pPr>
      <w:r w:rsidRPr="00646C80">
        <w:rPr>
          <w:lang w:val="fr-BE"/>
        </w:rPr>
        <w:t>Les prises destinées à l’alimentation de PC, seront des prises avec détrompage.  De cette manière ces prises ne pourront être utilisées qu’avec une fiche munie d’un détrompeur.</w:t>
      </w:r>
    </w:p>
    <w:sectPr w:rsidR="00646C80" w:rsidRPr="00A20467"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1F6F" w14:textId="77777777" w:rsidR="007A7E80" w:rsidRDefault="007A7E80" w:rsidP="00ED6C45">
      <w:r>
        <w:separator/>
      </w:r>
    </w:p>
  </w:endnote>
  <w:endnote w:type="continuationSeparator" w:id="0">
    <w:p w14:paraId="37621014" w14:textId="77777777" w:rsidR="007A7E80" w:rsidRDefault="007A7E80"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0BA5" w14:textId="02CE2D45" w:rsidR="00D00F7F" w:rsidRPr="009E42CD" w:rsidRDefault="00CC471B" w:rsidP="00D00F7F">
    <w:pPr>
      <w:pStyle w:val="Footer"/>
      <w:tabs>
        <w:tab w:val="clear" w:pos="4536"/>
        <w:tab w:val="clear" w:pos="9072"/>
        <w:tab w:val="center" w:pos="4820"/>
        <w:tab w:val="right" w:pos="9923"/>
      </w:tabs>
      <w:rPr>
        <w:sz w:val="20"/>
        <w:szCs w:val="20"/>
        <w:lang w:val="fr-BE"/>
      </w:rPr>
    </w:pPr>
    <w:r w:rsidRPr="009E42CD">
      <w:rPr>
        <w:sz w:val="20"/>
        <w:szCs w:val="20"/>
        <w:lang w:val="fr-BE"/>
      </w:rPr>
      <w:t>Descriptif pour c</w:t>
    </w:r>
    <w:r w:rsidR="00D00F7F" w:rsidRPr="009E42CD">
      <w:rPr>
        <w:sz w:val="20"/>
        <w:szCs w:val="20"/>
        <w:lang w:val="fr-BE"/>
      </w:rPr>
      <w:t>ahier des charges</w:t>
    </w:r>
    <w:r w:rsidR="00D00F7F" w:rsidRPr="009E42CD">
      <w:rPr>
        <w:sz w:val="20"/>
        <w:szCs w:val="20"/>
        <w:lang w:val="fr-BE"/>
      </w:rPr>
      <w:tab/>
    </w:r>
    <w:r w:rsidR="009E42CD">
      <w:rPr>
        <w:sz w:val="20"/>
        <w:szCs w:val="20"/>
        <w:lang w:val="fr-BE"/>
      </w:rPr>
      <w:t>DLP sans halogène</w:t>
    </w:r>
    <w:r w:rsidR="00D00F7F" w:rsidRPr="009E42CD">
      <w:rPr>
        <w:sz w:val="20"/>
        <w:szCs w:val="20"/>
        <w:lang w:val="fr-BE"/>
      </w:rPr>
      <w:tab/>
    </w:r>
    <w:r w:rsidR="0070703A" w:rsidRPr="009E42CD">
      <w:rPr>
        <w:sz w:val="20"/>
        <w:szCs w:val="20"/>
        <w:lang w:val="fr-BE"/>
      </w:rPr>
      <w:t>Dernière</w:t>
    </w:r>
    <w:r w:rsidR="00D00F7F" w:rsidRPr="009E42CD">
      <w:rPr>
        <w:sz w:val="20"/>
        <w:szCs w:val="20"/>
        <w:lang w:val="fr-BE"/>
      </w:rPr>
      <w:t xml:space="preserve"> mis à jour</w:t>
    </w:r>
    <w:r w:rsidR="009E42CD">
      <w:rPr>
        <w:sz w:val="20"/>
        <w:szCs w:val="20"/>
        <w:lang w:val="fr-BE"/>
      </w:rPr>
      <w:t xml:space="preserve"> </w:t>
    </w:r>
    <w:r w:rsidR="00D00F7F" w:rsidRPr="009E42CD">
      <w:rPr>
        <w:sz w:val="20"/>
        <w:szCs w:val="20"/>
        <w:lang w:val="fr-BE"/>
      </w:rPr>
      <w:t xml:space="preserve">: </w:t>
    </w:r>
    <w:r w:rsidR="00645BD6">
      <w:rPr>
        <w:sz w:val="20"/>
        <w:szCs w:val="20"/>
        <w:lang w:val="fr-BE"/>
      </w:rPr>
      <w:t>05</w:t>
    </w:r>
    <w:r w:rsidR="00875023" w:rsidRPr="009E42CD">
      <w:rPr>
        <w:sz w:val="20"/>
        <w:szCs w:val="20"/>
        <w:lang w:val="fr-BE"/>
      </w:rPr>
      <w:t>/0</w:t>
    </w:r>
    <w:r w:rsidR="00645BD6">
      <w:rPr>
        <w:sz w:val="20"/>
        <w:szCs w:val="20"/>
        <w:lang w:val="fr-BE"/>
      </w:rPr>
      <w:t>2</w:t>
    </w:r>
    <w:r w:rsidR="00875023" w:rsidRPr="009E42CD">
      <w:rPr>
        <w:sz w:val="20"/>
        <w:szCs w:val="20"/>
        <w:lang w:val="fr-BE"/>
      </w:rPr>
      <w:t>/202</w:t>
    </w:r>
    <w:r w:rsidR="00645BD6">
      <w:rPr>
        <w:sz w:val="20"/>
        <w:szCs w:val="20"/>
        <w:lang w:val="fr-B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887E" w14:textId="77777777" w:rsidR="007A7E80" w:rsidRDefault="007A7E80" w:rsidP="00ED6C45">
      <w:r>
        <w:separator/>
      </w:r>
    </w:p>
  </w:footnote>
  <w:footnote w:type="continuationSeparator" w:id="0">
    <w:p w14:paraId="60113510" w14:textId="77777777" w:rsidR="007A7E80" w:rsidRDefault="007A7E80"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BE0F" w14:textId="77777777" w:rsidR="002B63EA" w:rsidRPr="002B63EA" w:rsidRDefault="00D95ADA" w:rsidP="00ED6C45">
    <w:pPr>
      <w:pStyle w:val="Header"/>
    </w:pPr>
    <w:r>
      <w:rPr>
        <w:noProof/>
      </w:rPr>
      <mc:AlternateContent>
        <mc:Choice Requires="wps">
          <w:drawing>
            <wp:anchor distT="4294967295" distB="4294967295" distL="114300" distR="114300" simplePos="0" relativeHeight="251659264" behindDoc="0" locked="0" layoutInCell="1" allowOverlap="1" wp14:anchorId="0E5350F9" wp14:editId="2D560852">
              <wp:simplePos x="0" y="0"/>
              <wp:positionH relativeFrom="column">
                <wp:posOffset>2927985</wp:posOffset>
              </wp:positionH>
              <wp:positionV relativeFrom="paragraph">
                <wp:posOffset>195580</wp:posOffset>
              </wp:positionV>
              <wp:extent cx="205740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D2153"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55pt,15.4pt" to="392.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" strokeweight="1pt"/>
          </w:pict>
        </mc:Fallback>
      </mc:AlternateContent>
    </w:r>
    <w:r>
      <w:rPr>
        <w:noProof/>
      </w:rPr>
      <w:drawing>
        <wp:anchor distT="0" distB="0" distL="114300" distR="114300" simplePos="0" relativeHeight="251662336" behindDoc="1" locked="0" layoutInCell="1" allowOverlap="1" wp14:anchorId="5889FD8A" wp14:editId="40D08979">
          <wp:simplePos x="0" y="0"/>
          <wp:positionH relativeFrom="column">
            <wp:posOffset>5071110</wp:posOffset>
          </wp:positionH>
          <wp:positionV relativeFrom="paragraph">
            <wp:posOffset>-23495</wp:posOffset>
          </wp:positionV>
          <wp:extent cx="1219200" cy="316230"/>
          <wp:effectExtent l="0" t="0" r="0" b="7620"/>
          <wp:wrapNone/>
          <wp:docPr id="46" name="Picture 4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3EA">
      <w:rPr>
        <w:noProof/>
      </w:rPr>
      <mc:AlternateContent>
        <mc:Choice Requires="wps">
          <w:drawing>
            <wp:anchor distT="0" distB="0" distL="114300" distR="114300" simplePos="0" relativeHeight="251661312" behindDoc="0" locked="0" layoutInCell="1" allowOverlap="1" wp14:anchorId="1B36C7D8" wp14:editId="1F9D57A0">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41CC4" w14:textId="77777777" w:rsidR="002B63EA" w:rsidRDefault="00CC471B" w:rsidP="00ED6C45">
                          <w:pPr>
                            <w:pStyle w:val="Header"/>
                            <w:rPr>
                              <w:noProof/>
                            </w:rPr>
                          </w:pPr>
                          <w:r>
                            <w:t xml:space="preserve">DESCRIPTIF POUR </w:t>
                          </w:r>
                          <w:r w:rsidR="00D00F7F">
                            <w:t>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6C7D8"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" filled="f" stroked="f">
              <v:textbox style="mso-fit-shape-to-text:t" inset=",,,.3mm">
                <w:txbxContent>
                  <w:p w14:paraId="56841CC4" w14:textId="77777777" w:rsidR="002B63EA" w:rsidRDefault="00CC471B" w:rsidP="00ED6C45">
                    <w:pPr>
                      <w:pStyle w:val="Header"/>
                      <w:rPr>
                        <w:noProof/>
                      </w:rPr>
                    </w:pPr>
                    <w:r>
                      <w:t xml:space="preserve">DESCRIPTIF POUR </w:t>
                    </w:r>
                    <w:r w:rsidR="00D00F7F">
                      <w:t>CAHIER DES CHARGES</w:t>
                    </w:r>
                  </w:p>
                </w:txbxContent>
              </v:textbox>
              <w10:wrap type="square"/>
            </v:shape>
          </w:pict>
        </mc:Fallback>
      </mc:AlternateContent>
    </w:r>
    <w:r w:rsidR="002B63E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B3F"/>
    <w:multiLevelType w:val="hybridMultilevel"/>
    <w:tmpl w:val="3A1A44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4537CC"/>
    <w:multiLevelType w:val="hybridMultilevel"/>
    <w:tmpl w:val="B106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D4BFC"/>
    <w:multiLevelType w:val="hybridMultilevel"/>
    <w:tmpl w:val="A24E01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6FB7DAB"/>
    <w:multiLevelType w:val="hybridMultilevel"/>
    <w:tmpl w:val="9FECA5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4361E7C"/>
    <w:multiLevelType w:val="hybridMultilevel"/>
    <w:tmpl w:val="84900F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D82922"/>
    <w:multiLevelType w:val="hybridMultilevel"/>
    <w:tmpl w:val="842CFFF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564919"/>
    <w:multiLevelType w:val="hybridMultilevel"/>
    <w:tmpl w:val="0D5611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84D5C38"/>
    <w:multiLevelType w:val="hybridMultilevel"/>
    <w:tmpl w:val="53F692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A45073"/>
    <w:multiLevelType w:val="hybridMultilevel"/>
    <w:tmpl w:val="123A80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07B2770"/>
    <w:multiLevelType w:val="hybridMultilevel"/>
    <w:tmpl w:val="880CA5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1357FD7"/>
    <w:multiLevelType w:val="hybridMultilevel"/>
    <w:tmpl w:val="6EA645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BD46660"/>
    <w:multiLevelType w:val="hybridMultilevel"/>
    <w:tmpl w:val="8CBEC7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08E34C5"/>
    <w:multiLevelType w:val="hybridMultilevel"/>
    <w:tmpl w:val="5C2210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0D74414"/>
    <w:multiLevelType w:val="hybridMultilevel"/>
    <w:tmpl w:val="D8B68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4287AEF"/>
    <w:multiLevelType w:val="hybridMultilevel"/>
    <w:tmpl w:val="D2545E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7844F67"/>
    <w:multiLevelType w:val="hybridMultilevel"/>
    <w:tmpl w:val="E7CAE1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9033A9E"/>
    <w:multiLevelType w:val="hybridMultilevel"/>
    <w:tmpl w:val="98C68844"/>
    <w:lvl w:ilvl="0" w:tplc="4ACCD846">
      <w:start w:val="1"/>
      <w:numFmt w:val="decimal"/>
      <w:lvlText w:val="%1."/>
      <w:lvlJc w:val="left"/>
      <w:pPr>
        <w:ind w:left="720" w:hanging="360"/>
      </w:pPr>
      <w:rPr>
        <w:rFonts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A613212"/>
    <w:multiLevelType w:val="hybridMultilevel"/>
    <w:tmpl w:val="3D7A04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AB30383"/>
    <w:multiLevelType w:val="hybridMultilevel"/>
    <w:tmpl w:val="CEEE02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EAB4AF2"/>
    <w:multiLevelType w:val="hybridMultilevel"/>
    <w:tmpl w:val="C68A22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07512760">
    <w:abstractNumId w:val="10"/>
  </w:num>
  <w:num w:numId="2" w16cid:durableId="615217471">
    <w:abstractNumId w:val="8"/>
  </w:num>
  <w:num w:numId="3" w16cid:durableId="96173099">
    <w:abstractNumId w:val="14"/>
  </w:num>
  <w:num w:numId="4" w16cid:durableId="1338579041">
    <w:abstractNumId w:val="15"/>
  </w:num>
  <w:num w:numId="5" w16cid:durableId="1460218637">
    <w:abstractNumId w:val="0"/>
  </w:num>
  <w:num w:numId="6" w16cid:durableId="22826598">
    <w:abstractNumId w:val="7"/>
  </w:num>
  <w:num w:numId="7" w16cid:durableId="863716102">
    <w:abstractNumId w:val="17"/>
  </w:num>
  <w:num w:numId="8" w16cid:durableId="1761640038">
    <w:abstractNumId w:val="19"/>
  </w:num>
  <w:num w:numId="9" w16cid:durableId="1277441593">
    <w:abstractNumId w:val="18"/>
  </w:num>
  <w:num w:numId="10" w16cid:durableId="1196847450">
    <w:abstractNumId w:val="12"/>
  </w:num>
  <w:num w:numId="11" w16cid:durableId="1263419561">
    <w:abstractNumId w:val="3"/>
  </w:num>
  <w:num w:numId="12" w16cid:durableId="2069720390">
    <w:abstractNumId w:val="13"/>
  </w:num>
  <w:num w:numId="13" w16cid:durableId="1425110266">
    <w:abstractNumId w:val="9"/>
  </w:num>
  <w:num w:numId="14" w16cid:durableId="1815221079">
    <w:abstractNumId w:val="11"/>
  </w:num>
  <w:num w:numId="15" w16cid:durableId="1605647207">
    <w:abstractNumId w:val="5"/>
  </w:num>
  <w:num w:numId="16" w16cid:durableId="669336978">
    <w:abstractNumId w:val="6"/>
  </w:num>
  <w:num w:numId="17" w16cid:durableId="477187726">
    <w:abstractNumId w:val="16"/>
  </w:num>
  <w:num w:numId="18" w16cid:durableId="1069228470">
    <w:abstractNumId w:val="4"/>
  </w:num>
  <w:num w:numId="19" w16cid:durableId="411857263">
    <w:abstractNumId w:val="20"/>
  </w:num>
  <w:num w:numId="20" w16cid:durableId="1032534014">
    <w:abstractNumId w:val="2"/>
  </w:num>
  <w:num w:numId="21" w16cid:durableId="160395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94B2D"/>
    <w:rsid w:val="000B45E4"/>
    <w:rsid w:val="000D5537"/>
    <w:rsid w:val="000F79F5"/>
    <w:rsid w:val="001010BA"/>
    <w:rsid w:val="00115793"/>
    <w:rsid w:val="00123128"/>
    <w:rsid w:val="00162D9A"/>
    <w:rsid w:val="001959D1"/>
    <w:rsid w:val="001A0E2E"/>
    <w:rsid w:val="001B2719"/>
    <w:rsid w:val="00205306"/>
    <w:rsid w:val="00221365"/>
    <w:rsid w:val="002B63EA"/>
    <w:rsid w:val="00407A09"/>
    <w:rsid w:val="004726DB"/>
    <w:rsid w:val="004F608B"/>
    <w:rsid w:val="00566C54"/>
    <w:rsid w:val="005A6D07"/>
    <w:rsid w:val="00615992"/>
    <w:rsid w:val="00645BD6"/>
    <w:rsid w:val="00646C80"/>
    <w:rsid w:val="006668B6"/>
    <w:rsid w:val="006E5E84"/>
    <w:rsid w:val="006F0273"/>
    <w:rsid w:val="0070703A"/>
    <w:rsid w:val="007A7E80"/>
    <w:rsid w:val="00875023"/>
    <w:rsid w:val="008B39E5"/>
    <w:rsid w:val="008D1081"/>
    <w:rsid w:val="008F023F"/>
    <w:rsid w:val="00927126"/>
    <w:rsid w:val="009E42CD"/>
    <w:rsid w:val="00A20467"/>
    <w:rsid w:val="00A20578"/>
    <w:rsid w:val="00A87AB0"/>
    <w:rsid w:val="00AD7AEE"/>
    <w:rsid w:val="00B12C6B"/>
    <w:rsid w:val="00B21414"/>
    <w:rsid w:val="00BB0D10"/>
    <w:rsid w:val="00BC40BA"/>
    <w:rsid w:val="00C91D4B"/>
    <w:rsid w:val="00CC471B"/>
    <w:rsid w:val="00D00F7F"/>
    <w:rsid w:val="00D35BBE"/>
    <w:rsid w:val="00D60308"/>
    <w:rsid w:val="00D95ADA"/>
    <w:rsid w:val="00DC36C6"/>
    <w:rsid w:val="00E32C87"/>
    <w:rsid w:val="00E74ED8"/>
    <w:rsid w:val="00ED6C45"/>
    <w:rsid w:val="00F65B92"/>
    <w:rsid w:val="00F73ED4"/>
    <w:rsid w:val="00F7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B7B80D"/>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2"/>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2"/>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2"/>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paragraph" w:styleId="NoSpacing">
    <w:name w:val="No Spacing"/>
    <w:uiPriority w:val="1"/>
    <w:qFormat/>
    <w:rsid w:val="00D95ADA"/>
    <w:pPr>
      <w:autoSpaceDE w:val="0"/>
      <w:autoSpaceDN w:val="0"/>
      <w:adjustRightInd w:val="0"/>
      <w:spacing w:after="0" w:line="240" w:lineRule="auto"/>
      <w:jc w:val="both"/>
    </w:pPr>
    <w:rPr>
      <w:rFonts w:ascii="Arial" w:hAnsi="Arial" w:cs="Arial"/>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ed0845d1-3fd8-4f01-8672-183ce6276f18" xsi:nil="true"/>
    <TaxCatchAll xmlns="2fea924a-0647-46c8-9d52-131ad76a017a" xsi:nil="true"/>
    <lcf76f155ced4ddcb4097134ff3c332f xmlns="ed0845d1-3fd8-4f01-8672-183ce6276f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06EFDCA45CCE40ACF58A1364C91831" ma:contentTypeVersion="18" ma:contentTypeDescription="Create a new document." ma:contentTypeScope="" ma:versionID="ab29fafe358872db4209f10a8b91101f">
  <xsd:schema xmlns:xsd="http://www.w3.org/2001/XMLSchema" xmlns:xs="http://www.w3.org/2001/XMLSchema" xmlns:p="http://schemas.microsoft.com/office/2006/metadata/properties" xmlns:ns2="ed0845d1-3fd8-4f01-8672-183ce6276f18" xmlns:ns3="2fea924a-0647-46c8-9d52-131ad76a017a" targetNamespace="http://schemas.microsoft.com/office/2006/metadata/properties" ma:root="true" ma:fieldsID="aa03ba69bff864662b6bc01eb1ef9322" ns2:_="" ns3:_="">
    <xsd:import namespace="ed0845d1-3fd8-4f01-8672-183ce6276f18"/>
    <xsd:import namespace="2fea924a-0647-46c8-9d52-131ad76a01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845d1-3fd8-4f01-8672-183ce6276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eb64fc-42c0-4912-87a3-b0ead3e48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a924a-0647-46c8-9d52-131ad76a01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6674d2-b86a-4ba1-a7a0-685fec146413}" ma:internalName="TaxCatchAll" ma:showField="CatchAllData" ma:web="2fea924a-0647-46c8-9d52-131ad76a0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AEC9B-86E0-4963-8168-84599E047788}">
  <ds:schemaRefs>
    <ds:schemaRef ds:uri="http://schemas.microsoft.com/sharepoint/v3/contenttype/forms"/>
  </ds:schemaRefs>
</ds:datastoreItem>
</file>

<file path=customXml/itemProps2.xml><?xml version="1.0" encoding="utf-8"?>
<ds:datastoreItem xmlns:ds="http://schemas.openxmlformats.org/officeDocument/2006/customXml" ds:itemID="{E5897C7E-4FE0-4880-A77D-DAE69E5BA6B9}">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f8968595-9cdb-4de9-a4af-cf90aee440d6"/>
    <ds:schemaRef ds:uri="a8ec3fc9-bdf9-4de7-a32c-531da479f50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6D4F880-2E07-48AF-BE14-AA17550ACC8F}"/>
</file>

<file path=docProps/app.xml><?xml version="1.0" encoding="utf-8"?>
<Properties xmlns="http://schemas.openxmlformats.org/officeDocument/2006/extended-properties" xmlns:vt="http://schemas.openxmlformats.org/officeDocument/2006/docPropsVTypes">
  <Template>Normal.dotm</Template>
  <TotalTime>8</TotalTime>
  <Pages>2</Pages>
  <Words>445</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18</cp:revision>
  <dcterms:created xsi:type="dcterms:W3CDTF">2020-01-07T07:48:00Z</dcterms:created>
  <dcterms:modified xsi:type="dcterms:W3CDTF">2024-02-05T15:24:00Z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0x010100DB06EFDCA45CCE40ACF58A1364C91831</vt:lpwstr>
  </property>
  <property fmtid="{D5CDD505-2E9C-101B-9397-08002B2CF9AE}" pid="3" name="Order">
    <vt:r8>767900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