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D542A" w14:textId="38C95EFF" w:rsidR="00BC40BA" w:rsidRPr="00312404" w:rsidRDefault="00F65B92" w:rsidP="00ED6C45">
      <w:pPr>
        <w:jc w:val="left"/>
        <w:rPr>
          <w:b/>
          <w:sz w:val="28"/>
          <w:szCs w:val="28"/>
          <w:lang w:val="fr-BE"/>
        </w:rPr>
      </w:pPr>
      <w:r w:rsidRPr="00ED6C45">
        <w:rPr>
          <w:b/>
          <w:noProof/>
          <w:sz w:val="32"/>
          <w:szCs w:val="32"/>
          <w:lang w:val="nl-NL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3DF5FEEC" wp14:editId="2141666C">
                <wp:simplePos x="0" y="0"/>
                <wp:positionH relativeFrom="column">
                  <wp:posOffset>-566420</wp:posOffset>
                </wp:positionH>
                <wp:positionV relativeFrom="paragraph">
                  <wp:posOffset>-361950</wp:posOffset>
                </wp:positionV>
                <wp:extent cx="6701790" cy="971550"/>
                <wp:effectExtent l="0" t="0" r="0" b="9525"/>
                <wp:wrapNone/>
                <wp:docPr id="5" name="Papie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02920" y="335280"/>
                            <a:ext cx="635" cy="636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02920" y="970915"/>
                            <a:ext cx="612648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E1703" id="Papier 2" o:spid="_x0000_s1026" editas="canvas" style="position:absolute;margin-left:-44.6pt;margin-top:-28.5pt;width:527.7pt;height:76.5pt;z-index:-251657216" coordsize="67017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017;height:9715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5029,3352" to="5035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v:line id="Line 5" o:spid="_x0000_s1029" style="position:absolute;visibility:visible;mso-wrap-style:square" from="5029,9709" to="66294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</v:group>
            </w:pict>
          </mc:Fallback>
        </mc:AlternateContent>
      </w:r>
      <w:r w:rsidR="00312404" w:rsidRPr="00312404">
        <w:rPr>
          <w:b/>
          <w:sz w:val="32"/>
          <w:szCs w:val="32"/>
          <w:lang w:val="fr-BE"/>
        </w:rPr>
        <w:t>DX³ - Stop Arc disjoncteur</w:t>
      </w:r>
      <w:r w:rsidR="00ED6C45" w:rsidRPr="00312404">
        <w:rPr>
          <w:b/>
          <w:sz w:val="32"/>
          <w:szCs w:val="32"/>
          <w:lang w:val="fr-BE"/>
        </w:rPr>
        <w:br/>
      </w:r>
      <w:r w:rsidR="00312404">
        <w:rPr>
          <w:b/>
          <w:sz w:val="28"/>
          <w:szCs w:val="28"/>
          <w:lang w:val="fr-BE"/>
        </w:rPr>
        <w:t>Protection modulaire contre le</w:t>
      </w:r>
      <w:r w:rsidR="00FF5BF8">
        <w:rPr>
          <w:b/>
          <w:sz w:val="28"/>
          <w:szCs w:val="28"/>
          <w:lang w:val="fr-BE"/>
        </w:rPr>
        <w:t>s</w:t>
      </w:r>
      <w:r w:rsidR="00312404">
        <w:rPr>
          <w:b/>
          <w:sz w:val="28"/>
          <w:szCs w:val="28"/>
          <w:lang w:val="fr-BE"/>
        </w:rPr>
        <w:t xml:space="preserve"> défauts d’arc</w:t>
      </w:r>
    </w:p>
    <w:p w14:paraId="1D028E6D" w14:textId="77777777" w:rsidR="00ED6C45" w:rsidRPr="00312404" w:rsidRDefault="00ED6C45" w:rsidP="00ED6C45">
      <w:pPr>
        <w:rPr>
          <w:lang w:val="fr-BE"/>
        </w:rPr>
      </w:pPr>
    </w:p>
    <w:p w14:paraId="061EA3CC" w14:textId="778B9B95" w:rsidR="00AD077C" w:rsidRDefault="00312404" w:rsidP="00AD077C">
      <w:pPr>
        <w:pStyle w:val="Heading1"/>
        <w:rPr>
          <w:lang w:val="fr-BE"/>
        </w:rPr>
      </w:pPr>
      <w:r>
        <w:rPr>
          <w:lang w:val="fr-BE"/>
        </w:rPr>
        <w:t>Utilisation</w:t>
      </w:r>
    </w:p>
    <w:p w14:paraId="41DC92B3" w14:textId="4C4988A3" w:rsidR="007E317C" w:rsidRPr="007E317C" w:rsidRDefault="007E317C" w:rsidP="007E317C">
      <w:pPr>
        <w:rPr>
          <w:lang w:val="fr-BE"/>
        </w:rPr>
      </w:pPr>
      <w:r w:rsidRPr="007E317C">
        <w:rPr>
          <w:lang w:val="fr-BE"/>
        </w:rPr>
        <w:t xml:space="preserve">Le disjoncteur Stop Arc est un appareil modulaire qui assure non seulement une protection de ligne (surcharge/court-circuit) mais également une protection contre les défauts d’arc (AFDD : Arc </w:t>
      </w:r>
      <w:proofErr w:type="spellStart"/>
      <w:r w:rsidRPr="007E317C">
        <w:rPr>
          <w:lang w:val="fr-BE"/>
        </w:rPr>
        <w:t>Fault</w:t>
      </w:r>
      <w:proofErr w:type="spellEnd"/>
      <w:r w:rsidRPr="007E317C">
        <w:rPr>
          <w:lang w:val="fr-BE"/>
        </w:rPr>
        <w:t xml:space="preserve"> </w:t>
      </w:r>
      <w:proofErr w:type="spellStart"/>
      <w:r w:rsidRPr="007E317C">
        <w:rPr>
          <w:lang w:val="fr-BE"/>
        </w:rPr>
        <w:t>Detection</w:t>
      </w:r>
      <w:proofErr w:type="spellEnd"/>
      <w:r w:rsidRPr="007E317C">
        <w:rPr>
          <w:lang w:val="fr-BE"/>
        </w:rPr>
        <w:t xml:space="preserve"> </w:t>
      </w:r>
      <w:proofErr w:type="spellStart"/>
      <w:r w:rsidRPr="007E317C">
        <w:rPr>
          <w:lang w:val="fr-BE"/>
        </w:rPr>
        <w:t>Device</w:t>
      </w:r>
      <w:proofErr w:type="spellEnd"/>
      <w:r w:rsidRPr="007E317C">
        <w:rPr>
          <w:lang w:val="fr-BE"/>
        </w:rPr>
        <w:t>). L’appareil détecte les défauts d’arc électrique résultant de l’endommagement des isolants ou d’une mauvaise connexion des câbles.</w:t>
      </w:r>
    </w:p>
    <w:p w14:paraId="54650366" w14:textId="2489BD96" w:rsidR="009A4EF5" w:rsidRDefault="009A4EF5" w:rsidP="009A4EF5">
      <w:pPr>
        <w:pStyle w:val="Heading1"/>
        <w:rPr>
          <w:lang w:val="fr-BE"/>
        </w:rPr>
      </w:pPr>
      <w:r>
        <w:rPr>
          <w:lang w:val="fr-BE"/>
        </w:rPr>
        <w:t>Conformité aux normes</w:t>
      </w:r>
    </w:p>
    <w:p w14:paraId="2531C0AB" w14:textId="77777777" w:rsidR="006B429A" w:rsidRPr="006B429A" w:rsidRDefault="006B429A" w:rsidP="006B429A">
      <w:pPr>
        <w:rPr>
          <w:lang w:val="fr-BE"/>
        </w:rPr>
      </w:pPr>
      <w:r w:rsidRPr="006B429A">
        <w:rPr>
          <w:lang w:val="fr-BE"/>
        </w:rPr>
        <w:t>Le produit est conforme aux normes EN/IEC 62606 et EN/IEC 60898-1</w:t>
      </w:r>
    </w:p>
    <w:p w14:paraId="533AE6C7" w14:textId="00B91373" w:rsidR="006B429A" w:rsidRPr="006B429A" w:rsidRDefault="006B429A" w:rsidP="006B429A">
      <w:pPr>
        <w:rPr>
          <w:lang w:val="fr-BE"/>
        </w:rPr>
      </w:pPr>
      <w:r w:rsidRPr="006B429A">
        <w:rPr>
          <w:lang w:val="fr-BE"/>
        </w:rPr>
        <w:t>Conformité à la directive 2002/95/CE du 27/01/03 dite « RoHS »</w:t>
      </w:r>
    </w:p>
    <w:p w14:paraId="124E6E3E" w14:textId="197864B4" w:rsidR="00F20651" w:rsidRDefault="00F20651" w:rsidP="00F20651">
      <w:pPr>
        <w:pStyle w:val="Heading1"/>
        <w:rPr>
          <w:lang w:val="fr-BE"/>
        </w:rPr>
      </w:pPr>
      <w:r>
        <w:rPr>
          <w:lang w:val="fr-BE"/>
        </w:rPr>
        <w:t>Caractéristiques de construction</w:t>
      </w:r>
    </w:p>
    <w:p w14:paraId="39AFE595" w14:textId="1225525B" w:rsidR="00812E10" w:rsidRPr="00812E10" w:rsidRDefault="00812E10" w:rsidP="00812E10">
      <w:pPr>
        <w:rPr>
          <w:lang w:val="fr-BE"/>
        </w:rPr>
      </w:pPr>
      <w:r w:rsidRPr="00812E10">
        <w:rPr>
          <w:lang w:val="fr-BE"/>
        </w:rPr>
        <w:t>Dispositif de détection de défaut d'arc associé avec un disjoncteur magnétothermique avec indication de position de contact</w:t>
      </w:r>
      <w:r>
        <w:rPr>
          <w:lang w:val="fr-BE"/>
        </w:rPr>
        <w:t>.</w:t>
      </w:r>
    </w:p>
    <w:p w14:paraId="2C074A11" w14:textId="77777777" w:rsidR="00812E10" w:rsidRPr="00812E10" w:rsidRDefault="00812E10" w:rsidP="00812E10">
      <w:pPr>
        <w:pStyle w:val="ListParagraph"/>
        <w:numPr>
          <w:ilvl w:val="0"/>
          <w:numId w:val="32"/>
        </w:numPr>
        <w:rPr>
          <w:lang w:val="fr-BE"/>
        </w:rPr>
      </w:pPr>
      <w:r w:rsidRPr="00812E10">
        <w:rPr>
          <w:lang w:val="fr-BE"/>
        </w:rPr>
        <w:t>Largeur de 3 modules de 17,5mm</w:t>
      </w:r>
    </w:p>
    <w:p w14:paraId="2EB125D9" w14:textId="77777777" w:rsidR="00812E10" w:rsidRPr="00812E10" w:rsidRDefault="00812E10" w:rsidP="00812E10">
      <w:pPr>
        <w:pStyle w:val="ListParagraph"/>
        <w:numPr>
          <w:ilvl w:val="0"/>
          <w:numId w:val="32"/>
        </w:numPr>
        <w:rPr>
          <w:lang w:val="fr-BE"/>
        </w:rPr>
      </w:pPr>
      <w:r w:rsidRPr="00812E10">
        <w:rPr>
          <w:lang w:val="fr-BE"/>
        </w:rPr>
        <w:t xml:space="preserve">Le degré de protection : IP20 – IK02 </w:t>
      </w:r>
    </w:p>
    <w:p w14:paraId="5D05CE19" w14:textId="77777777" w:rsidR="00812E10" w:rsidRPr="00812E10" w:rsidRDefault="00812E10" w:rsidP="00812E10">
      <w:pPr>
        <w:pStyle w:val="ListParagraph"/>
        <w:numPr>
          <w:ilvl w:val="0"/>
          <w:numId w:val="32"/>
        </w:numPr>
        <w:rPr>
          <w:lang w:val="fr-BE"/>
        </w:rPr>
      </w:pPr>
      <w:r w:rsidRPr="00812E10">
        <w:rPr>
          <w:lang w:val="fr-BE"/>
        </w:rPr>
        <w:t>Matière plastique : Polyamide, polyester et P.B.T, sans halogènes</w:t>
      </w:r>
    </w:p>
    <w:p w14:paraId="42C06DDF" w14:textId="77777777" w:rsidR="00812E10" w:rsidRPr="00812E10" w:rsidRDefault="00812E10" w:rsidP="00812E10">
      <w:pPr>
        <w:pStyle w:val="ListParagraph"/>
        <w:numPr>
          <w:ilvl w:val="0"/>
          <w:numId w:val="32"/>
        </w:numPr>
        <w:rPr>
          <w:lang w:val="fr-BE"/>
        </w:rPr>
      </w:pPr>
      <w:r w:rsidRPr="00812E10">
        <w:rPr>
          <w:lang w:val="fr-BE"/>
        </w:rPr>
        <w:t>Tenue à l'épreuve du fil incandescent à 960°C, selon la norme IEC/EN 60898-1</w:t>
      </w:r>
    </w:p>
    <w:p w14:paraId="3ABBFA46" w14:textId="6B43E737" w:rsidR="00812E10" w:rsidRPr="00812E10" w:rsidRDefault="00812E10" w:rsidP="00812E10">
      <w:pPr>
        <w:pStyle w:val="ListParagraph"/>
        <w:numPr>
          <w:ilvl w:val="0"/>
          <w:numId w:val="32"/>
        </w:numPr>
        <w:rPr>
          <w:lang w:val="fr-BE"/>
        </w:rPr>
      </w:pPr>
      <w:r w:rsidRPr="00812E10">
        <w:rPr>
          <w:lang w:val="fr-BE"/>
        </w:rPr>
        <w:t>Température de fonctionnement : -25 à +40°C</w:t>
      </w:r>
    </w:p>
    <w:p w14:paraId="7708C028" w14:textId="5A263D8A" w:rsidR="00A86188" w:rsidRDefault="00A86188" w:rsidP="00A86188">
      <w:pPr>
        <w:pStyle w:val="Heading1"/>
        <w:rPr>
          <w:lang w:val="fr-BE"/>
        </w:rPr>
      </w:pPr>
      <w:r>
        <w:rPr>
          <w:lang w:val="fr-BE"/>
        </w:rPr>
        <w:t>Caractéristiques électriques</w:t>
      </w:r>
    </w:p>
    <w:p w14:paraId="7768EFC0" w14:textId="5DAF72C0" w:rsidR="00E4498F" w:rsidRPr="00E4498F" w:rsidRDefault="00E4498F" w:rsidP="00E4498F">
      <w:pPr>
        <w:pStyle w:val="ListParagraph"/>
        <w:numPr>
          <w:ilvl w:val="0"/>
          <w:numId w:val="33"/>
        </w:numPr>
        <w:rPr>
          <w:lang w:val="fr-BE"/>
        </w:rPr>
      </w:pPr>
      <w:r w:rsidRPr="00E4498F">
        <w:rPr>
          <w:lang w:val="fr-BE"/>
        </w:rPr>
        <w:t>Le disjoncteur magnétothermique (protection de ligne)</w:t>
      </w:r>
    </w:p>
    <w:p w14:paraId="0FC29283" w14:textId="015AAA6A" w:rsidR="00E4498F" w:rsidRPr="00E4498F" w:rsidRDefault="00E4498F" w:rsidP="00E4498F">
      <w:pPr>
        <w:pStyle w:val="ListParagraph"/>
        <w:numPr>
          <w:ilvl w:val="1"/>
          <w:numId w:val="33"/>
        </w:numPr>
        <w:rPr>
          <w:lang w:val="fr-BE"/>
        </w:rPr>
      </w:pPr>
      <w:r>
        <w:rPr>
          <w:lang w:val="fr-BE"/>
        </w:rPr>
        <w:t>P</w:t>
      </w:r>
      <w:r w:rsidRPr="00E4498F">
        <w:rPr>
          <w:lang w:val="fr-BE"/>
        </w:rPr>
        <w:t>olarité : 2 pôles protégés</w:t>
      </w:r>
    </w:p>
    <w:p w14:paraId="367B6583" w14:textId="05C38E7C" w:rsidR="00E4498F" w:rsidRPr="00E4498F" w:rsidRDefault="00E4498F" w:rsidP="00E4498F">
      <w:pPr>
        <w:pStyle w:val="ListParagraph"/>
        <w:numPr>
          <w:ilvl w:val="1"/>
          <w:numId w:val="33"/>
        </w:numPr>
        <w:rPr>
          <w:lang w:val="fr-BE"/>
        </w:rPr>
      </w:pPr>
      <w:r>
        <w:rPr>
          <w:lang w:val="fr-BE"/>
        </w:rPr>
        <w:t>I</w:t>
      </w:r>
      <w:r w:rsidRPr="00E4498F">
        <w:rPr>
          <w:lang w:val="fr-BE"/>
        </w:rPr>
        <w:t>ntensité nominale : 16 A</w:t>
      </w:r>
    </w:p>
    <w:p w14:paraId="36F215BA" w14:textId="74FFC038" w:rsidR="00E4498F" w:rsidRPr="00E4498F" w:rsidRDefault="00E4498F" w:rsidP="00E4498F">
      <w:pPr>
        <w:pStyle w:val="ListParagraph"/>
        <w:numPr>
          <w:ilvl w:val="1"/>
          <w:numId w:val="33"/>
        </w:numPr>
        <w:rPr>
          <w:lang w:val="fr-BE"/>
        </w:rPr>
      </w:pPr>
      <w:r>
        <w:rPr>
          <w:lang w:val="fr-BE"/>
        </w:rPr>
        <w:t>T</w:t>
      </w:r>
      <w:r w:rsidRPr="00E4498F">
        <w:rPr>
          <w:lang w:val="fr-BE"/>
        </w:rPr>
        <w:t>ype C (déclenchement magnétique entre 5 et 10 In)</w:t>
      </w:r>
    </w:p>
    <w:p w14:paraId="003850D3" w14:textId="0D01F889" w:rsidR="00E4498F" w:rsidRPr="00E4498F" w:rsidRDefault="00E4498F" w:rsidP="00E4498F">
      <w:pPr>
        <w:pStyle w:val="ListParagraph"/>
        <w:numPr>
          <w:ilvl w:val="1"/>
          <w:numId w:val="33"/>
        </w:numPr>
        <w:rPr>
          <w:lang w:val="fr-BE"/>
        </w:rPr>
      </w:pPr>
      <w:r>
        <w:rPr>
          <w:lang w:val="fr-BE"/>
        </w:rPr>
        <w:t>P</w:t>
      </w:r>
      <w:r w:rsidRPr="00E4498F">
        <w:rPr>
          <w:lang w:val="fr-BE"/>
        </w:rPr>
        <w:t>ouvoir de coupure : 6000 A (IEC/EN 60898-1)</w:t>
      </w:r>
    </w:p>
    <w:p w14:paraId="0B815060" w14:textId="1AE9E2E5" w:rsidR="00E4498F" w:rsidRPr="00E4498F" w:rsidRDefault="00E4498F" w:rsidP="00E4498F">
      <w:pPr>
        <w:pStyle w:val="ListParagraph"/>
        <w:numPr>
          <w:ilvl w:val="1"/>
          <w:numId w:val="33"/>
        </w:numPr>
        <w:rPr>
          <w:lang w:val="fr-BE"/>
        </w:rPr>
      </w:pPr>
      <w:r>
        <w:rPr>
          <w:lang w:val="fr-BE"/>
        </w:rPr>
        <w:t>A</w:t>
      </w:r>
      <w:r w:rsidRPr="00E4498F">
        <w:rPr>
          <w:lang w:val="fr-BE"/>
        </w:rPr>
        <w:t>limentation : 250 Vac – 50 Hz</w:t>
      </w:r>
    </w:p>
    <w:p w14:paraId="7AF51C4F" w14:textId="66FCFCA7" w:rsidR="00E4498F" w:rsidRPr="00E4498F" w:rsidRDefault="00E4498F" w:rsidP="00E4498F">
      <w:pPr>
        <w:pStyle w:val="ListParagraph"/>
        <w:numPr>
          <w:ilvl w:val="0"/>
          <w:numId w:val="33"/>
        </w:numPr>
        <w:rPr>
          <w:lang w:val="fr-BE"/>
        </w:rPr>
      </w:pPr>
      <w:r w:rsidRPr="00E4498F">
        <w:rPr>
          <w:lang w:val="fr-BE"/>
        </w:rPr>
        <w:t>Le dispositif de défaut d’arc assure la protection contre les arcs séries et les arcs parallèles et les arcs à la terre et il est équipé de 2 voyants, qui ensemble indiquent l’état du circuit concerné.</w:t>
      </w:r>
    </w:p>
    <w:p w14:paraId="284BFC13" w14:textId="608EC075" w:rsidR="00E4498F" w:rsidRPr="00E4498F" w:rsidRDefault="00E4498F" w:rsidP="00E4498F">
      <w:pPr>
        <w:pStyle w:val="ListParagraph"/>
        <w:numPr>
          <w:ilvl w:val="1"/>
          <w:numId w:val="33"/>
        </w:numPr>
        <w:rPr>
          <w:lang w:val="fr-BE"/>
        </w:rPr>
      </w:pPr>
      <w:r>
        <w:rPr>
          <w:lang w:val="fr-BE"/>
        </w:rPr>
        <w:t>L</w:t>
      </w:r>
      <w:r w:rsidRPr="00E4498F">
        <w:rPr>
          <w:lang w:val="fr-BE"/>
        </w:rPr>
        <w:t xml:space="preserve">ampe </w:t>
      </w:r>
      <w:proofErr w:type="spellStart"/>
      <w:r w:rsidRPr="00E4498F">
        <w:rPr>
          <w:lang w:val="fr-BE"/>
        </w:rPr>
        <w:t>led</w:t>
      </w:r>
      <w:proofErr w:type="spellEnd"/>
      <w:r w:rsidRPr="00E4498F">
        <w:rPr>
          <w:lang w:val="fr-BE"/>
        </w:rPr>
        <w:t xml:space="preserve"> (vert/rouge)</w:t>
      </w:r>
    </w:p>
    <w:p w14:paraId="06123980" w14:textId="6C956F5A" w:rsidR="00E4498F" w:rsidRPr="00E4498F" w:rsidRDefault="00E4498F" w:rsidP="00E4498F">
      <w:pPr>
        <w:pStyle w:val="ListParagraph"/>
        <w:numPr>
          <w:ilvl w:val="1"/>
          <w:numId w:val="33"/>
        </w:numPr>
        <w:rPr>
          <w:lang w:val="fr-BE"/>
        </w:rPr>
      </w:pPr>
      <w:r>
        <w:rPr>
          <w:lang w:val="fr-BE"/>
        </w:rPr>
        <w:t>I</w:t>
      </w:r>
      <w:r w:rsidRPr="00E4498F">
        <w:rPr>
          <w:lang w:val="fr-BE"/>
        </w:rPr>
        <w:t>ndicateur mécanique</w:t>
      </w:r>
    </w:p>
    <w:p w14:paraId="043499C1" w14:textId="463E6A95" w:rsidR="00E4498F" w:rsidRPr="00E4498F" w:rsidRDefault="00E4498F" w:rsidP="00E4498F">
      <w:pPr>
        <w:pStyle w:val="ListParagraph"/>
        <w:numPr>
          <w:ilvl w:val="0"/>
          <w:numId w:val="33"/>
        </w:numPr>
        <w:rPr>
          <w:lang w:val="fr-BE"/>
        </w:rPr>
      </w:pPr>
      <w:r w:rsidRPr="00E4498F">
        <w:rPr>
          <w:lang w:val="fr-BE"/>
        </w:rPr>
        <w:t>Equipé d’une fonction autotest fonctionnant en permanence</w:t>
      </w:r>
    </w:p>
    <w:p w14:paraId="70FB21B4" w14:textId="025CABEC" w:rsidR="00E4498F" w:rsidRPr="00E4498F" w:rsidRDefault="00E4498F" w:rsidP="00E4498F">
      <w:pPr>
        <w:pStyle w:val="ListParagraph"/>
        <w:numPr>
          <w:ilvl w:val="0"/>
          <w:numId w:val="33"/>
        </w:numPr>
        <w:rPr>
          <w:lang w:val="fr-BE"/>
        </w:rPr>
      </w:pPr>
      <w:r w:rsidRPr="00E4498F">
        <w:rPr>
          <w:lang w:val="fr-BE"/>
        </w:rPr>
        <w:t xml:space="preserve">Tension d’isolement </w:t>
      </w:r>
      <w:proofErr w:type="spellStart"/>
      <w:r w:rsidRPr="00E4498F">
        <w:rPr>
          <w:lang w:val="fr-BE"/>
        </w:rPr>
        <w:t>Ui</w:t>
      </w:r>
      <w:proofErr w:type="spellEnd"/>
      <w:r w:rsidRPr="00E4498F">
        <w:rPr>
          <w:lang w:val="fr-BE"/>
        </w:rPr>
        <w:t xml:space="preserve"> : 250V</w:t>
      </w:r>
    </w:p>
    <w:p w14:paraId="6D48F71D" w14:textId="7754A1D3" w:rsidR="00E4498F" w:rsidRPr="00E4498F" w:rsidRDefault="00E4498F" w:rsidP="00E4498F">
      <w:pPr>
        <w:pStyle w:val="ListParagraph"/>
        <w:numPr>
          <w:ilvl w:val="0"/>
          <w:numId w:val="33"/>
        </w:numPr>
        <w:rPr>
          <w:lang w:val="fr-BE"/>
        </w:rPr>
      </w:pPr>
      <w:r w:rsidRPr="00E4498F">
        <w:rPr>
          <w:lang w:val="fr-BE"/>
        </w:rPr>
        <w:t xml:space="preserve">Tension assignée de tenue aux chocs </w:t>
      </w:r>
      <w:proofErr w:type="spellStart"/>
      <w:r w:rsidRPr="00E4498F">
        <w:rPr>
          <w:lang w:val="fr-BE"/>
        </w:rPr>
        <w:t>Uimp</w:t>
      </w:r>
      <w:proofErr w:type="spellEnd"/>
      <w:r w:rsidRPr="00E4498F">
        <w:rPr>
          <w:lang w:val="fr-BE"/>
        </w:rPr>
        <w:t xml:space="preserve"> : 4kV </w:t>
      </w:r>
    </w:p>
    <w:p w14:paraId="233D1623" w14:textId="634C27B8" w:rsidR="00E4498F" w:rsidRPr="00E4498F" w:rsidRDefault="00E4498F" w:rsidP="00E4498F">
      <w:pPr>
        <w:pStyle w:val="ListParagraph"/>
        <w:numPr>
          <w:ilvl w:val="0"/>
          <w:numId w:val="33"/>
        </w:numPr>
        <w:rPr>
          <w:lang w:val="fr-BE"/>
        </w:rPr>
      </w:pPr>
      <w:r w:rsidRPr="00E4498F">
        <w:rPr>
          <w:lang w:val="fr-BE"/>
        </w:rPr>
        <w:t>Endurance électrique : testé à 10 000 manœuvres en charge (sous In x Cos φ 0,9)</w:t>
      </w:r>
    </w:p>
    <w:p w14:paraId="79870744" w14:textId="41E40134" w:rsidR="00E4498F" w:rsidRPr="00E4498F" w:rsidRDefault="00E4498F" w:rsidP="00E4498F">
      <w:pPr>
        <w:pStyle w:val="ListParagraph"/>
        <w:numPr>
          <w:ilvl w:val="0"/>
          <w:numId w:val="33"/>
        </w:numPr>
        <w:rPr>
          <w:lang w:val="fr-BE"/>
        </w:rPr>
      </w:pPr>
      <w:r w:rsidRPr="00E4498F">
        <w:rPr>
          <w:lang w:val="fr-BE"/>
        </w:rPr>
        <w:t>Endurance mécanique : testé à 20 000 manœuvres</w:t>
      </w:r>
    </w:p>
    <w:p w14:paraId="0813B240" w14:textId="509D01CC" w:rsidR="00E4498F" w:rsidRPr="00E4498F" w:rsidRDefault="00E4498F" w:rsidP="00E4498F">
      <w:pPr>
        <w:pStyle w:val="ListParagraph"/>
        <w:numPr>
          <w:ilvl w:val="0"/>
          <w:numId w:val="33"/>
        </w:numPr>
        <w:rPr>
          <w:lang w:val="fr-BE"/>
        </w:rPr>
      </w:pPr>
      <w:r w:rsidRPr="00E4498F">
        <w:rPr>
          <w:lang w:val="fr-BE"/>
        </w:rPr>
        <w:t>Puissance dissipée par pôle (sous In) : 4,4 W</w:t>
      </w:r>
    </w:p>
    <w:p w14:paraId="20A25436" w14:textId="3CD066CB" w:rsidR="00906C35" w:rsidRDefault="009362A7" w:rsidP="00906C35">
      <w:pPr>
        <w:pStyle w:val="Heading1"/>
        <w:rPr>
          <w:lang w:val="fr-BE"/>
        </w:rPr>
      </w:pPr>
      <w:r>
        <w:rPr>
          <w:lang w:val="fr-BE"/>
        </w:rPr>
        <w:lastRenderedPageBreak/>
        <w:t>Installation</w:t>
      </w:r>
    </w:p>
    <w:p w14:paraId="6D8D712E" w14:textId="46D7A8E4" w:rsidR="00B26DF2" w:rsidRPr="00B26DF2" w:rsidRDefault="00B26DF2" w:rsidP="00B26DF2">
      <w:pPr>
        <w:pStyle w:val="ListParagraph"/>
        <w:numPr>
          <w:ilvl w:val="0"/>
          <w:numId w:val="34"/>
        </w:numPr>
        <w:rPr>
          <w:lang w:val="fr-BE"/>
        </w:rPr>
      </w:pPr>
      <w:r w:rsidRPr="00B26DF2">
        <w:rPr>
          <w:lang w:val="fr-BE"/>
        </w:rPr>
        <w:t>L’appareil est monté sur un rail DIN 35 ou sur un rail symétrique EN/IEC 60715</w:t>
      </w:r>
    </w:p>
    <w:p w14:paraId="6C3A1C72" w14:textId="0987496C" w:rsidR="00B26DF2" w:rsidRPr="00B26DF2" w:rsidRDefault="00B26DF2" w:rsidP="00B26DF2">
      <w:pPr>
        <w:pStyle w:val="ListParagraph"/>
        <w:numPr>
          <w:ilvl w:val="0"/>
          <w:numId w:val="34"/>
        </w:numPr>
        <w:rPr>
          <w:lang w:val="fr-BE"/>
        </w:rPr>
      </w:pPr>
      <w:r w:rsidRPr="00B26DF2">
        <w:rPr>
          <w:lang w:val="fr-BE"/>
        </w:rPr>
        <w:t xml:space="preserve">Le produit peut être équipé (à gauche) d’un contact auxiliaire et/ou de contact signal défaut.  </w:t>
      </w:r>
    </w:p>
    <w:p w14:paraId="0C623BC7" w14:textId="5A862F4F" w:rsidR="00B26DF2" w:rsidRPr="00B26DF2" w:rsidRDefault="00B26DF2" w:rsidP="00B26DF2">
      <w:pPr>
        <w:pStyle w:val="ListParagraph"/>
        <w:numPr>
          <w:ilvl w:val="0"/>
          <w:numId w:val="34"/>
        </w:numPr>
        <w:rPr>
          <w:lang w:val="fr-BE"/>
        </w:rPr>
      </w:pPr>
      <w:r w:rsidRPr="00B26DF2">
        <w:rPr>
          <w:lang w:val="fr-BE"/>
        </w:rPr>
        <w:t xml:space="preserve">Le fonctionnement est garanti dans toutes les positions </w:t>
      </w:r>
    </w:p>
    <w:p w14:paraId="0ADC5455" w14:textId="5278349B" w:rsidR="00B26DF2" w:rsidRPr="00B26DF2" w:rsidRDefault="00B26DF2" w:rsidP="00B26DF2">
      <w:pPr>
        <w:pStyle w:val="ListParagraph"/>
        <w:numPr>
          <w:ilvl w:val="0"/>
          <w:numId w:val="34"/>
        </w:numPr>
        <w:rPr>
          <w:lang w:val="fr-BE"/>
        </w:rPr>
      </w:pPr>
      <w:r w:rsidRPr="00B26DF2">
        <w:rPr>
          <w:lang w:val="fr-BE"/>
        </w:rPr>
        <w:t>Lors d’un test d’isolation, les câbles de sortie doivent être déconnectés et la manette doit être mise dans la position OFF</w:t>
      </w:r>
    </w:p>
    <w:p w14:paraId="15FD241D" w14:textId="7A27402C" w:rsidR="00B26DF2" w:rsidRPr="00B26DF2" w:rsidRDefault="00B26DF2" w:rsidP="00B26DF2">
      <w:pPr>
        <w:pStyle w:val="ListParagraph"/>
        <w:numPr>
          <w:ilvl w:val="0"/>
          <w:numId w:val="34"/>
        </w:numPr>
        <w:rPr>
          <w:lang w:val="fr-BE"/>
        </w:rPr>
      </w:pPr>
      <w:r w:rsidRPr="00B26DF2">
        <w:rPr>
          <w:lang w:val="fr-BE"/>
        </w:rPr>
        <w:t>L’appareil est verrouillable par le montage d’un accessoire sur la manette et par l’utilisation d’un cadenas</w:t>
      </w:r>
    </w:p>
    <w:p w14:paraId="7DE58788" w14:textId="585F81FF" w:rsidR="00B26DF2" w:rsidRPr="00B26DF2" w:rsidRDefault="00B26DF2" w:rsidP="00B26DF2">
      <w:pPr>
        <w:pStyle w:val="ListParagraph"/>
        <w:numPr>
          <w:ilvl w:val="0"/>
          <w:numId w:val="34"/>
        </w:numPr>
        <w:rPr>
          <w:lang w:val="fr-BE"/>
        </w:rPr>
      </w:pPr>
      <w:r w:rsidRPr="00B26DF2">
        <w:rPr>
          <w:lang w:val="fr-BE"/>
        </w:rPr>
        <w:t>Possibilité de plombage en position ouverte et fermée</w:t>
      </w:r>
    </w:p>
    <w:p w14:paraId="6FE3018E" w14:textId="627DA7C6" w:rsidR="00B26DF2" w:rsidRPr="00B26DF2" w:rsidRDefault="00B26DF2" w:rsidP="00B26DF2">
      <w:pPr>
        <w:pStyle w:val="ListParagraph"/>
        <w:numPr>
          <w:ilvl w:val="0"/>
          <w:numId w:val="34"/>
        </w:numPr>
        <w:rPr>
          <w:lang w:val="fr-BE"/>
        </w:rPr>
      </w:pPr>
      <w:r w:rsidRPr="00B26DF2">
        <w:rPr>
          <w:lang w:val="fr-BE"/>
        </w:rPr>
        <w:t>L’alimentation du produit se fait par le bas</w:t>
      </w:r>
    </w:p>
    <w:p w14:paraId="3D8646AE" w14:textId="6319CDCE" w:rsidR="00B26DF2" w:rsidRPr="00B26DF2" w:rsidRDefault="00B26DF2" w:rsidP="00B26DF2">
      <w:pPr>
        <w:pStyle w:val="ListParagraph"/>
        <w:numPr>
          <w:ilvl w:val="0"/>
          <w:numId w:val="34"/>
        </w:numPr>
        <w:rPr>
          <w:lang w:val="fr-BE"/>
        </w:rPr>
      </w:pPr>
      <w:r w:rsidRPr="00B26DF2">
        <w:rPr>
          <w:lang w:val="fr-BE"/>
        </w:rPr>
        <w:t>Bornes équipées de bavettes empêchant de mettre un câble sous la borne, borne entrouverte ou fermée</w:t>
      </w:r>
    </w:p>
    <w:p w14:paraId="6725EE4B" w14:textId="69B46CD3" w:rsidR="00B26DF2" w:rsidRPr="00B26DF2" w:rsidRDefault="00B26DF2" w:rsidP="00B26DF2">
      <w:pPr>
        <w:pStyle w:val="ListParagraph"/>
        <w:numPr>
          <w:ilvl w:val="0"/>
          <w:numId w:val="34"/>
        </w:numPr>
        <w:rPr>
          <w:lang w:val="fr-BE"/>
        </w:rPr>
      </w:pPr>
      <w:r w:rsidRPr="00B26DF2">
        <w:rPr>
          <w:lang w:val="fr-BE"/>
        </w:rPr>
        <w:t>Profondeur des bornes : 12 mm en haut / 14 mm en bas</w:t>
      </w:r>
    </w:p>
    <w:p w14:paraId="17A100AE" w14:textId="5B18FB0E" w:rsidR="00B26DF2" w:rsidRPr="00B26DF2" w:rsidRDefault="00B26DF2" w:rsidP="00B26DF2">
      <w:pPr>
        <w:pStyle w:val="ListParagraph"/>
        <w:numPr>
          <w:ilvl w:val="0"/>
          <w:numId w:val="34"/>
        </w:numPr>
        <w:rPr>
          <w:lang w:val="fr-BE"/>
        </w:rPr>
      </w:pPr>
      <w:r w:rsidRPr="00B26DF2">
        <w:rPr>
          <w:lang w:val="fr-BE"/>
        </w:rPr>
        <w:t>Le couple de serrage conseillé est 2,5 Nm et les vis sont du type mixte (</w:t>
      </w:r>
      <w:proofErr w:type="spellStart"/>
      <w:r w:rsidRPr="00B26DF2">
        <w:rPr>
          <w:lang w:val="fr-BE"/>
        </w:rPr>
        <w:t>Pozidriv</w:t>
      </w:r>
      <w:proofErr w:type="spellEnd"/>
      <w:r w:rsidRPr="00B26DF2">
        <w:rPr>
          <w:lang w:val="fr-BE"/>
        </w:rPr>
        <w:t xml:space="preserve"> n°2 ou plat 5,5 mm)</w:t>
      </w:r>
    </w:p>
    <w:p w14:paraId="220457A3" w14:textId="0A680A10" w:rsidR="009362A7" w:rsidRPr="00B26DF2" w:rsidRDefault="00B26DF2" w:rsidP="00B26DF2">
      <w:pPr>
        <w:pStyle w:val="ListParagraph"/>
        <w:numPr>
          <w:ilvl w:val="0"/>
          <w:numId w:val="34"/>
        </w:numPr>
        <w:rPr>
          <w:lang w:val="fr-BE"/>
        </w:rPr>
      </w:pPr>
      <w:r w:rsidRPr="00B26DF2">
        <w:rPr>
          <w:lang w:val="fr-BE"/>
        </w:rPr>
        <w:t>Repérage des circuits : à l’aide d’une étiquette insérée dans le porte-étiquette situé en face avant du produit</w:t>
      </w:r>
      <w:bookmarkStart w:id="0" w:name="_GoBack"/>
      <w:bookmarkEnd w:id="0"/>
    </w:p>
    <w:sectPr w:rsidR="009362A7" w:rsidRPr="00B26DF2" w:rsidSect="00ED6C45">
      <w:headerReference w:type="default" r:id="rId10"/>
      <w:footerReference w:type="default" r:id="rId11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F9E5A" w14:textId="77777777" w:rsidR="00911EEC" w:rsidRDefault="00911EEC" w:rsidP="00ED6C45">
      <w:r>
        <w:separator/>
      </w:r>
    </w:p>
  </w:endnote>
  <w:endnote w:type="continuationSeparator" w:id="0">
    <w:p w14:paraId="1355356D" w14:textId="77777777" w:rsidR="00911EEC" w:rsidRDefault="00911EEC" w:rsidP="00ED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B2FA9" w14:textId="595BBC35" w:rsidR="00423B83" w:rsidRPr="007523A5" w:rsidRDefault="005A312F" w:rsidP="00D00F7F">
    <w:pPr>
      <w:pStyle w:val="Footer"/>
      <w:tabs>
        <w:tab w:val="clear" w:pos="4536"/>
        <w:tab w:val="clear" w:pos="9072"/>
        <w:tab w:val="center" w:pos="4820"/>
        <w:tab w:val="right" w:pos="9923"/>
      </w:tabs>
      <w:rPr>
        <w:sz w:val="20"/>
        <w:szCs w:val="20"/>
        <w:lang w:val="fr-BE"/>
      </w:rPr>
    </w:pPr>
    <w:r w:rsidRPr="007523A5">
      <w:rPr>
        <w:sz w:val="20"/>
        <w:szCs w:val="20"/>
        <w:lang w:val="fr-BE"/>
      </w:rPr>
      <w:t>Des</w:t>
    </w:r>
    <w:r>
      <w:rPr>
        <w:sz w:val="20"/>
        <w:szCs w:val="20"/>
        <w:lang w:val="fr-BE"/>
      </w:rPr>
      <w:t>c</w:t>
    </w:r>
    <w:r w:rsidRPr="007523A5">
      <w:rPr>
        <w:sz w:val="20"/>
        <w:szCs w:val="20"/>
        <w:lang w:val="fr-BE"/>
      </w:rPr>
      <w:t>riptif</w:t>
    </w:r>
    <w:r w:rsidR="00EB6AE6" w:rsidRPr="007523A5">
      <w:rPr>
        <w:sz w:val="20"/>
        <w:szCs w:val="20"/>
        <w:lang w:val="fr-BE"/>
      </w:rPr>
      <w:t xml:space="preserve"> pour cahier des charges</w:t>
    </w:r>
    <w:r w:rsidR="00423B83" w:rsidRPr="007523A5">
      <w:rPr>
        <w:sz w:val="20"/>
        <w:szCs w:val="20"/>
        <w:lang w:val="fr-BE"/>
      </w:rPr>
      <w:tab/>
    </w:r>
    <w:r w:rsidR="00D47B03">
      <w:rPr>
        <w:sz w:val="20"/>
        <w:szCs w:val="20"/>
        <w:lang w:val="fr-BE"/>
      </w:rPr>
      <w:t>AFDD – Stop Arc</w:t>
    </w:r>
    <w:r w:rsidR="001E4F76" w:rsidRPr="007523A5">
      <w:rPr>
        <w:sz w:val="20"/>
        <w:szCs w:val="20"/>
        <w:lang w:val="fr-BE"/>
      </w:rPr>
      <w:tab/>
    </w:r>
    <w:r w:rsidR="00EB6AE6" w:rsidRPr="007523A5">
      <w:rPr>
        <w:sz w:val="20"/>
        <w:szCs w:val="20"/>
        <w:lang w:val="fr-BE"/>
      </w:rPr>
      <w:t xml:space="preserve">Dernière mis à jour </w:t>
    </w:r>
    <w:r w:rsidR="001E4F76" w:rsidRPr="007523A5">
      <w:rPr>
        <w:sz w:val="20"/>
        <w:szCs w:val="20"/>
        <w:lang w:val="fr-BE"/>
      </w:rPr>
      <w:t>: 0</w:t>
    </w:r>
    <w:r w:rsidR="00D47B03">
      <w:rPr>
        <w:sz w:val="20"/>
        <w:szCs w:val="20"/>
        <w:lang w:val="fr-BE"/>
      </w:rPr>
      <w:t>2</w:t>
    </w:r>
    <w:r w:rsidR="001E4F76" w:rsidRPr="007523A5">
      <w:rPr>
        <w:sz w:val="20"/>
        <w:szCs w:val="20"/>
        <w:lang w:val="fr-BE"/>
      </w:rPr>
      <w:t>/0</w:t>
    </w:r>
    <w:r w:rsidR="00D47B03">
      <w:rPr>
        <w:sz w:val="20"/>
        <w:szCs w:val="20"/>
        <w:lang w:val="fr-BE"/>
      </w:rPr>
      <w:t>9</w:t>
    </w:r>
    <w:r w:rsidR="00423B83" w:rsidRPr="007523A5">
      <w:rPr>
        <w:sz w:val="20"/>
        <w:szCs w:val="20"/>
        <w:lang w:val="fr-BE"/>
      </w:rPr>
      <w:t>/</w:t>
    </w:r>
    <w:r w:rsidR="001E4F76" w:rsidRPr="007523A5">
      <w:rPr>
        <w:sz w:val="20"/>
        <w:szCs w:val="20"/>
        <w:lang w:val="fr-BE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4E177" w14:textId="77777777" w:rsidR="00911EEC" w:rsidRDefault="00911EEC" w:rsidP="00ED6C45">
      <w:r>
        <w:separator/>
      </w:r>
    </w:p>
  </w:footnote>
  <w:footnote w:type="continuationSeparator" w:id="0">
    <w:p w14:paraId="4D8C5EE7" w14:textId="77777777" w:rsidR="00911EEC" w:rsidRDefault="00911EEC" w:rsidP="00ED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83A6C" w14:textId="77777777" w:rsidR="00423B83" w:rsidRPr="002B63EA" w:rsidRDefault="00417C82" w:rsidP="001E4F76">
    <w:pPr>
      <w:pStyle w:val="Header"/>
      <w:tabs>
        <w:tab w:val="clear" w:pos="4536"/>
        <w:tab w:val="clear" w:pos="9072"/>
        <w:tab w:val="left" w:pos="4485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EEB9B30" wp14:editId="5FAD631E">
              <wp:simplePos x="0" y="0"/>
              <wp:positionH relativeFrom="column">
                <wp:posOffset>2929890</wp:posOffset>
              </wp:positionH>
              <wp:positionV relativeFrom="paragraph">
                <wp:posOffset>187960</wp:posOffset>
              </wp:positionV>
              <wp:extent cx="2026920" cy="0"/>
              <wp:effectExtent l="0" t="0" r="0" b="0"/>
              <wp:wrapNone/>
              <wp:docPr id="2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0269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42AD85" id="Straight Connector 9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0.7pt,14.8pt" to="390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" strokeweight="1pt"/>
          </w:pict>
        </mc:Fallback>
      </mc:AlternateContent>
    </w:r>
    <w:r w:rsidR="001E4F76">
      <w:rPr>
        <w:noProof/>
      </w:rPr>
      <w:drawing>
        <wp:anchor distT="0" distB="0" distL="114300" distR="114300" simplePos="0" relativeHeight="251662336" behindDoc="1" locked="0" layoutInCell="1" allowOverlap="1" wp14:anchorId="19C05848" wp14:editId="03078898">
          <wp:simplePos x="0" y="0"/>
          <wp:positionH relativeFrom="column">
            <wp:posOffset>5071110</wp:posOffset>
          </wp:positionH>
          <wp:positionV relativeFrom="paragraph">
            <wp:posOffset>-63500</wp:posOffset>
          </wp:positionV>
          <wp:extent cx="1219200" cy="316230"/>
          <wp:effectExtent l="0" t="0" r="0" b="7620"/>
          <wp:wrapNone/>
          <wp:docPr id="35" name="Picture 3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B8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0FD8CE" wp14:editId="21FD2969">
              <wp:simplePos x="0" y="0"/>
              <wp:positionH relativeFrom="column">
                <wp:posOffset>-147320</wp:posOffset>
              </wp:positionH>
              <wp:positionV relativeFrom="paragraph">
                <wp:posOffset>-24130</wp:posOffset>
              </wp:positionV>
              <wp:extent cx="2004060" cy="260985"/>
              <wp:effectExtent l="0" t="0" r="0" b="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A78CB" w14:textId="77777777" w:rsidR="00423B83" w:rsidRDefault="00417C82" w:rsidP="00ED6C45">
                          <w:pPr>
                            <w:pStyle w:val="Header"/>
                            <w:rPr>
                              <w:noProof/>
                            </w:rPr>
                          </w:pPr>
                          <w:r>
                            <w:t>DESCRIPTIF POUR CAHIER DES CHARGES</w:t>
                          </w:r>
                        </w:p>
                      </w:txbxContent>
                    </wps:txbx>
                    <wps:bodyPr rot="0" vert="horz" wrap="none" lIns="91440" tIns="45720" rIns="91440" bIns="108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FD8C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1.6pt;margin-top:-1.9pt;width:157.8pt;height:20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" filled="f" stroked="f">
              <v:textbox style="mso-fit-shape-to-text:t" inset=",,,.3mm">
                <w:txbxContent>
                  <w:p w14:paraId="64EA78CB" w14:textId="77777777" w:rsidR="00423B83" w:rsidRDefault="00417C82" w:rsidP="00ED6C45">
                    <w:pPr>
                      <w:pStyle w:val="Header"/>
                      <w:rPr>
                        <w:noProof/>
                      </w:rPr>
                    </w:pPr>
                    <w:r>
                      <w:t>DESCRIPTIF POUR CAHIER DES CHARGES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3B83">
      <w:t xml:space="preserve">                                           </w:t>
    </w:r>
    <w:r w:rsidR="001E4F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5E4"/>
    <w:multiLevelType w:val="hybridMultilevel"/>
    <w:tmpl w:val="C99E6F9C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4FF3"/>
    <w:multiLevelType w:val="hybridMultilevel"/>
    <w:tmpl w:val="D304CD92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6EF2"/>
    <w:multiLevelType w:val="hybridMultilevel"/>
    <w:tmpl w:val="368E64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2C5D"/>
    <w:multiLevelType w:val="hybridMultilevel"/>
    <w:tmpl w:val="04E8B9BE"/>
    <w:lvl w:ilvl="0" w:tplc="44AE2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11A61"/>
    <w:multiLevelType w:val="hybridMultilevel"/>
    <w:tmpl w:val="7842D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671C7"/>
    <w:multiLevelType w:val="hybridMultilevel"/>
    <w:tmpl w:val="832CC186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948EE"/>
    <w:multiLevelType w:val="hybridMultilevel"/>
    <w:tmpl w:val="458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2099E"/>
    <w:multiLevelType w:val="hybridMultilevel"/>
    <w:tmpl w:val="8F3ECDB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CE5019"/>
    <w:multiLevelType w:val="hybridMultilevel"/>
    <w:tmpl w:val="A89AC5E2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309BD"/>
    <w:multiLevelType w:val="hybridMultilevel"/>
    <w:tmpl w:val="93081136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A5F8A"/>
    <w:multiLevelType w:val="hybridMultilevel"/>
    <w:tmpl w:val="0422C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52C0E"/>
    <w:multiLevelType w:val="hybridMultilevel"/>
    <w:tmpl w:val="7BCEFC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066F6"/>
    <w:multiLevelType w:val="hybridMultilevel"/>
    <w:tmpl w:val="560EBD6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97089C"/>
    <w:multiLevelType w:val="hybridMultilevel"/>
    <w:tmpl w:val="08DAFD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B495B"/>
    <w:multiLevelType w:val="hybridMultilevel"/>
    <w:tmpl w:val="158E611C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B3BAD"/>
    <w:multiLevelType w:val="hybridMultilevel"/>
    <w:tmpl w:val="5792EC7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B938BC"/>
    <w:multiLevelType w:val="hybridMultilevel"/>
    <w:tmpl w:val="13C0356A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94677"/>
    <w:multiLevelType w:val="hybridMultilevel"/>
    <w:tmpl w:val="1910BF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C11A5"/>
    <w:multiLevelType w:val="hybridMultilevel"/>
    <w:tmpl w:val="50B0D3C2"/>
    <w:lvl w:ilvl="0" w:tplc="0813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9" w15:restartNumberingAfterBreak="0">
    <w:nsid w:val="54561EE5"/>
    <w:multiLevelType w:val="hybridMultilevel"/>
    <w:tmpl w:val="E3386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44131"/>
    <w:multiLevelType w:val="hybridMultilevel"/>
    <w:tmpl w:val="88D4A1FA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00BBC"/>
    <w:multiLevelType w:val="hybridMultilevel"/>
    <w:tmpl w:val="9C18E9FC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56F97"/>
    <w:multiLevelType w:val="hybridMultilevel"/>
    <w:tmpl w:val="97D65916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E5A43"/>
    <w:multiLevelType w:val="multilevel"/>
    <w:tmpl w:val="F5E04DE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cs="Arial" w:hint="default"/>
        <w:b/>
        <w:sz w:val="32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270525"/>
    <w:multiLevelType w:val="hybridMultilevel"/>
    <w:tmpl w:val="3A9CF3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93484"/>
    <w:multiLevelType w:val="hybridMultilevel"/>
    <w:tmpl w:val="C01220B4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1966CE"/>
    <w:multiLevelType w:val="hybridMultilevel"/>
    <w:tmpl w:val="7AD6ED68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70B76"/>
    <w:multiLevelType w:val="hybridMultilevel"/>
    <w:tmpl w:val="B3228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97018"/>
    <w:multiLevelType w:val="hybridMultilevel"/>
    <w:tmpl w:val="14C4E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7873"/>
    <w:multiLevelType w:val="hybridMultilevel"/>
    <w:tmpl w:val="6F0CBF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F4317"/>
    <w:multiLevelType w:val="hybridMultilevel"/>
    <w:tmpl w:val="21726A24"/>
    <w:lvl w:ilvl="0" w:tplc="4BDC8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42522"/>
    <w:multiLevelType w:val="hybridMultilevel"/>
    <w:tmpl w:val="7E2A89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35DD8"/>
    <w:multiLevelType w:val="hybridMultilevel"/>
    <w:tmpl w:val="CC44F5F0"/>
    <w:lvl w:ilvl="0" w:tplc="FFFFFFFF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3" w15:restartNumberingAfterBreak="0">
    <w:nsid w:val="7CCD21A0"/>
    <w:multiLevelType w:val="hybridMultilevel"/>
    <w:tmpl w:val="711EF9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30"/>
  </w:num>
  <w:num w:numId="4">
    <w:abstractNumId w:val="14"/>
  </w:num>
  <w:num w:numId="5">
    <w:abstractNumId w:val="16"/>
  </w:num>
  <w:num w:numId="6">
    <w:abstractNumId w:val="8"/>
  </w:num>
  <w:num w:numId="7">
    <w:abstractNumId w:val="20"/>
  </w:num>
  <w:num w:numId="8">
    <w:abstractNumId w:val="1"/>
  </w:num>
  <w:num w:numId="9">
    <w:abstractNumId w:val="5"/>
  </w:num>
  <w:num w:numId="10">
    <w:abstractNumId w:val="22"/>
  </w:num>
  <w:num w:numId="11">
    <w:abstractNumId w:val="26"/>
  </w:num>
  <w:num w:numId="12">
    <w:abstractNumId w:val="18"/>
  </w:num>
  <w:num w:numId="13">
    <w:abstractNumId w:val="24"/>
  </w:num>
  <w:num w:numId="14">
    <w:abstractNumId w:val="17"/>
  </w:num>
  <w:num w:numId="15">
    <w:abstractNumId w:val="2"/>
  </w:num>
  <w:num w:numId="16">
    <w:abstractNumId w:val="33"/>
  </w:num>
  <w:num w:numId="17">
    <w:abstractNumId w:val="29"/>
  </w:num>
  <w:num w:numId="18">
    <w:abstractNumId w:val="31"/>
  </w:num>
  <w:num w:numId="19">
    <w:abstractNumId w:val="25"/>
  </w:num>
  <w:num w:numId="20">
    <w:abstractNumId w:val="15"/>
  </w:num>
  <w:num w:numId="21">
    <w:abstractNumId w:val="12"/>
  </w:num>
  <w:num w:numId="22">
    <w:abstractNumId w:val="7"/>
  </w:num>
  <w:num w:numId="23">
    <w:abstractNumId w:val="9"/>
  </w:num>
  <w:num w:numId="24">
    <w:abstractNumId w:val="21"/>
  </w:num>
  <w:num w:numId="25">
    <w:abstractNumId w:val="0"/>
  </w:num>
  <w:num w:numId="26">
    <w:abstractNumId w:val="32"/>
  </w:num>
  <w:num w:numId="27">
    <w:abstractNumId w:val="13"/>
  </w:num>
  <w:num w:numId="28">
    <w:abstractNumId w:val="11"/>
  </w:num>
  <w:num w:numId="29">
    <w:abstractNumId w:val="27"/>
  </w:num>
  <w:num w:numId="30">
    <w:abstractNumId w:val="4"/>
  </w:num>
  <w:num w:numId="31">
    <w:abstractNumId w:val="28"/>
  </w:num>
  <w:num w:numId="32">
    <w:abstractNumId w:val="6"/>
  </w:num>
  <w:num w:numId="33">
    <w:abstractNumId w:val="10"/>
  </w:num>
  <w:num w:numId="34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EA"/>
    <w:rsid w:val="00010C4C"/>
    <w:rsid w:val="00012009"/>
    <w:rsid w:val="00015D6E"/>
    <w:rsid w:val="000210A6"/>
    <w:rsid w:val="00094D93"/>
    <w:rsid w:val="000B45E4"/>
    <w:rsid w:val="000D5537"/>
    <w:rsid w:val="000F79F5"/>
    <w:rsid w:val="00115793"/>
    <w:rsid w:val="00123128"/>
    <w:rsid w:val="00180F9D"/>
    <w:rsid w:val="001959D1"/>
    <w:rsid w:val="001D4C75"/>
    <w:rsid w:val="001E4F76"/>
    <w:rsid w:val="00205306"/>
    <w:rsid w:val="002139A1"/>
    <w:rsid w:val="00214C80"/>
    <w:rsid w:val="00221365"/>
    <w:rsid w:val="00231C76"/>
    <w:rsid w:val="002419A5"/>
    <w:rsid w:val="00253772"/>
    <w:rsid w:val="00273BC6"/>
    <w:rsid w:val="00281B98"/>
    <w:rsid w:val="002A77FF"/>
    <w:rsid w:val="002B36A6"/>
    <w:rsid w:val="002B63EA"/>
    <w:rsid w:val="002C0B71"/>
    <w:rsid w:val="002F6C09"/>
    <w:rsid w:val="00301B0A"/>
    <w:rsid w:val="00312404"/>
    <w:rsid w:val="003208CB"/>
    <w:rsid w:val="003212AF"/>
    <w:rsid w:val="00324936"/>
    <w:rsid w:val="003500BD"/>
    <w:rsid w:val="00353EE3"/>
    <w:rsid w:val="003916D3"/>
    <w:rsid w:val="003A4441"/>
    <w:rsid w:val="00407A09"/>
    <w:rsid w:val="00417C82"/>
    <w:rsid w:val="00423B83"/>
    <w:rsid w:val="004256A4"/>
    <w:rsid w:val="004726DB"/>
    <w:rsid w:val="00473090"/>
    <w:rsid w:val="00486608"/>
    <w:rsid w:val="00492F5A"/>
    <w:rsid w:val="00496DFB"/>
    <w:rsid w:val="004F608B"/>
    <w:rsid w:val="00516B4B"/>
    <w:rsid w:val="005214B0"/>
    <w:rsid w:val="00561D4D"/>
    <w:rsid w:val="005A312F"/>
    <w:rsid w:val="005A6D07"/>
    <w:rsid w:val="005B102C"/>
    <w:rsid w:val="005F5FF2"/>
    <w:rsid w:val="00615992"/>
    <w:rsid w:val="00635236"/>
    <w:rsid w:val="006668B6"/>
    <w:rsid w:val="006734D1"/>
    <w:rsid w:val="006956DB"/>
    <w:rsid w:val="006B429A"/>
    <w:rsid w:val="006D790E"/>
    <w:rsid w:val="006E5E84"/>
    <w:rsid w:val="006F0273"/>
    <w:rsid w:val="006F1024"/>
    <w:rsid w:val="00704A63"/>
    <w:rsid w:val="0070703A"/>
    <w:rsid w:val="00747E57"/>
    <w:rsid w:val="0075144E"/>
    <w:rsid w:val="00751949"/>
    <w:rsid w:val="007523A5"/>
    <w:rsid w:val="00766A73"/>
    <w:rsid w:val="00773479"/>
    <w:rsid w:val="007E317C"/>
    <w:rsid w:val="007F4DBB"/>
    <w:rsid w:val="00801ABD"/>
    <w:rsid w:val="00812E10"/>
    <w:rsid w:val="00821D2C"/>
    <w:rsid w:val="008B1C88"/>
    <w:rsid w:val="008F023F"/>
    <w:rsid w:val="00906C35"/>
    <w:rsid w:val="00911EEC"/>
    <w:rsid w:val="009362A7"/>
    <w:rsid w:val="009977E2"/>
    <w:rsid w:val="009A3E3E"/>
    <w:rsid w:val="009A4EF5"/>
    <w:rsid w:val="00A86188"/>
    <w:rsid w:val="00A94335"/>
    <w:rsid w:val="00AD077C"/>
    <w:rsid w:val="00B029AA"/>
    <w:rsid w:val="00B12C6B"/>
    <w:rsid w:val="00B26DF2"/>
    <w:rsid w:val="00B32ED7"/>
    <w:rsid w:val="00BC40BA"/>
    <w:rsid w:val="00BD14D8"/>
    <w:rsid w:val="00BF6ECA"/>
    <w:rsid w:val="00C25BA6"/>
    <w:rsid w:val="00C35182"/>
    <w:rsid w:val="00C752C8"/>
    <w:rsid w:val="00D00F7F"/>
    <w:rsid w:val="00D439FA"/>
    <w:rsid w:val="00D47B03"/>
    <w:rsid w:val="00D60308"/>
    <w:rsid w:val="00D6530B"/>
    <w:rsid w:val="00D83565"/>
    <w:rsid w:val="00DA5FB0"/>
    <w:rsid w:val="00DC36C6"/>
    <w:rsid w:val="00DD10A0"/>
    <w:rsid w:val="00DE3869"/>
    <w:rsid w:val="00E32C87"/>
    <w:rsid w:val="00E4498F"/>
    <w:rsid w:val="00E61755"/>
    <w:rsid w:val="00E81E3E"/>
    <w:rsid w:val="00EB6AE6"/>
    <w:rsid w:val="00ED6C45"/>
    <w:rsid w:val="00F20651"/>
    <w:rsid w:val="00F65B92"/>
    <w:rsid w:val="00FB0EB7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9CF4C"/>
  <w15:chartTrackingRefBased/>
  <w15:docId w15:val="{E9E739FA-2818-4FE3-8D9D-14077D2F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C45"/>
    <w:pPr>
      <w:autoSpaceDE w:val="0"/>
      <w:autoSpaceDN w:val="0"/>
      <w:adjustRightInd w:val="0"/>
      <w:spacing w:after="0"/>
      <w:jc w:val="both"/>
    </w:pPr>
    <w:rPr>
      <w:rFonts w:ascii="Arial" w:hAnsi="Arial" w:cs="Arial"/>
      <w:color w:val="000000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C45"/>
    <w:pPr>
      <w:keepNext/>
      <w:keepLines/>
      <w:numPr>
        <w:numId w:val="1"/>
      </w:numPr>
      <w:spacing w:before="240"/>
      <w:ind w:left="851" w:hanging="851"/>
      <w:outlineLvl w:val="0"/>
    </w:pPr>
    <w:rPr>
      <w:rFonts w:eastAsiaTheme="majorEastAs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C45"/>
    <w:pPr>
      <w:keepNext/>
      <w:keepLines/>
      <w:numPr>
        <w:ilvl w:val="1"/>
        <w:numId w:val="1"/>
      </w:numPr>
      <w:spacing w:before="40"/>
      <w:ind w:left="851" w:hanging="851"/>
      <w:outlineLvl w:val="1"/>
    </w:pPr>
    <w:rPr>
      <w:rFonts w:eastAsiaTheme="majorEastAsia"/>
      <w:b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308"/>
    <w:pPr>
      <w:keepNext/>
      <w:keepLines/>
      <w:numPr>
        <w:ilvl w:val="2"/>
        <w:numId w:val="1"/>
      </w:numPr>
      <w:spacing w:before="40" w:after="240" w:line="240" w:lineRule="auto"/>
      <w:ind w:left="851" w:hanging="851"/>
      <w:outlineLvl w:val="2"/>
    </w:pPr>
    <w:rPr>
      <w:rFonts w:eastAsiaTheme="majorEastAsia"/>
      <w:b/>
      <w:color w:val="auto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0308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63E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B63EA"/>
  </w:style>
  <w:style w:type="paragraph" w:styleId="Footer">
    <w:name w:val="footer"/>
    <w:basedOn w:val="Normal"/>
    <w:link w:val="FooterChar"/>
    <w:uiPriority w:val="99"/>
    <w:unhideWhenUsed/>
    <w:rsid w:val="002B63E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3EA"/>
  </w:style>
  <w:style w:type="paragraph" w:styleId="ListParagraph">
    <w:name w:val="List Paragraph"/>
    <w:basedOn w:val="Normal"/>
    <w:uiPriority w:val="34"/>
    <w:qFormat/>
    <w:rsid w:val="00ED6C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6C45"/>
    <w:rPr>
      <w:rFonts w:ascii="Arial" w:eastAsiaTheme="majorEastAsia" w:hAnsi="Arial" w:cs="Arial"/>
      <w:b/>
      <w:color w:val="000000"/>
      <w:sz w:val="32"/>
      <w:szCs w:val="32"/>
      <w:lang w:val="nl-BE"/>
    </w:rPr>
  </w:style>
  <w:style w:type="paragraph" w:customStyle="1" w:styleId="Default">
    <w:name w:val="Default"/>
    <w:rsid w:val="00ED6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BE"/>
    </w:rPr>
  </w:style>
  <w:style w:type="table" w:styleId="TableGrid">
    <w:name w:val="Table Grid"/>
    <w:basedOn w:val="TableNormal"/>
    <w:uiPriority w:val="59"/>
    <w:rsid w:val="00ED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D6C45"/>
    <w:rPr>
      <w:rFonts w:ascii="Arial" w:eastAsiaTheme="majorEastAsia" w:hAnsi="Arial" w:cs="Arial"/>
      <w:b/>
      <w:sz w:val="28"/>
      <w:szCs w:val="28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D60308"/>
    <w:rPr>
      <w:rFonts w:ascii="Arial" w:eastAsiaTheme="majorEastAsia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60308"/>
    <w:rPr>
      <w:rFonts w:ascii="Arial" w:hAnsi="Arial" w:cs="Arial"/>
      <w:b/>
      <w:color w:val="000000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3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08"/>
    <w:rPr>
      <w:rFonts w:ascii="Segoe UI" w:hAnsi="Segoe UI" w:cs="Segoe UI"/>
      <w:color w:val="000000"/>
      <w:sz w:val="18"/>
      <w:szCs w:val="18"/>
      <w:lang w:val="nl-BE"/>
    </w:rPr>
  </w:style>
  <w:style w:type="character" w:styleId="SubtleEmphasis">
    <w:name w:val="Subtle Emphasis"/>
    <w:basedOn w:val="DefaultParagraphFont"/>
    <w:uiPriority w:val="19"/>
    <w:qFormat/>
    <w:rsid w:val="004726DB"/>
    <w:rPr>
      <w:i/>
      <w:iCs/>
      <w:color w:val="404040" w:themeColor="text1" w:themeTint="BF"/>
    </w:rPr>
  </w:style>
  <w:style w:type="character" w:styleId="Emphasis">
    <w:name w:val="Emphasis"/>
    <w:qFormat/>
    <w:rsid w:val="00180F9D"/>
    <w:rPr>
      <w:rFonts w:ascii="Arial" w:eastAsia="Arial" w:hAnsi="Arial" w:cs="Arial"/>
      <w:i/>
      <w:lang w:val="nl-BE"/>
    </w:rPr>
  </w:style>
  <w:style w:type="character" w:styleId="Strong">
    <w:name w:val="Strong"/>
    <w:basedOn w:val="DefaultParagraphFont"/>
    <w:qFormat/>
    <w:rsid w:val="005F5FF2"/>
    <w:rPr>
      <w:bCs/>
      <w:sz w:val="24"/>
      <w:szCs w:val="24"/>
    </w:rPr>
  </w:style>
  <w:style w:type="paragraph" w:styleId="BodyText2">
    <w:name w:val="Body Text 2"/>
    <w:basedOn w:val="Normal"/>
    <w:link w:val="BodyText2Char"/>
    <w:rsid w:val="003208CB"/>
    <w:pPr>
      <w:overflowPunct w:val="0"/>
      <w:spacing w:after="120" w:line="480" w:lineRule="auto"/>
      <w:jc w:val="left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n-GB" w:eastAsia="nl-NL"/>
    </w:rPr>
  </w:style>
  <w:style w:type="character" w:customStyle="1" w:styleId="BodyText2Char">
    <w:name w:val="Body Text 2 Char"/>
    <w:basedOn w:val="DefaultParagraphFont"/>
    <w:link w:val="BodyText2"/>
    <w:rsid w:val="003208CB"/>
    <w:rPr>
      <w:rFonts w:ascii="Times New Roman" w:eastAsia="Times New Roman" w:hAnsi="Times New Roman" w:cs="Times New Roman"/>
      <w:sz w:val="20"/>
      <w:szCs w:val="2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311538C4A5D44ABBF73BAA6F9EB54" ma:contentTypeVersion="11" ma:contentTypeDescription="Crée un document." ma:contentTypeScope="" ma:versionID="55e2c4dfe80086454846e4b400213cb7">
  <xsd:schema xmlns:xsd="http://www.w3.org/2001/XMLSchema" xmlns:xs="http://www.w3.org/2001/XMLSchema" xmlns:p="http://schemas.microsoft.com/office/2006/metadata/properties" xmlns:ns3="6d321a01-7d22-4fbd-8d1f-910c5c43dc1c" xmlns:ns4="951919c7-4c6c-4c19-b5eb-27527eea1636" targetNamespace="http://schemas.microsoft.com/office/2006/metadata/properties" ma:root="true" ma:fieldsID="ef8ec4909b9fb748469e8010e98f38d2" ns3:_="" ns4:_="">
    <xsd:import namespace="6d321a01-7d22-4fbd-8d1f-910c5c43dc1c"/>
    <xsd:import namespace="951919c7-4c6c-4c19-b5eb-27527eea16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21a01-7d22-4fbd-8d1f-910c5c43dc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919c7-4c6c-4c19-b5eb-27527eea1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C2946-03D2-4E55-87E6-929F85C8CA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012A26-A20C-4E0F-B693-342289B36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FBF6B-B7F1-41C3-9371-3E8CE669F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21a01-7d22-4fbd-8d1f-910c5c43dc1c"/>
    <ds:schemaRef ds:uri="951919c7-4c6c-4c19-b5eb-27527eea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DE-KEYZER</dc:creator>
  <cp:keywords/>
  <dc:description/>
  <cp:lastModifiedBy>Elke DE-KEYZER</cp:lastModifiedBy>
  <cp:revision>8</cp:revision>
  <dcterms:created xsi:type="dcterms:W3CDTF">2020-09-02T08:38:00Z</dcterms:created>
  <dcterms:modified xsi:type="dcterms:W3CDTF">2020-09-02T08:41:00Z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0x01010079F311538C4A5D44ABBF73BAA6F9EB54</vt:lpwstr>
  </property>
</Properties>
</file>