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542A" w14:textId="2F50F2FE" w:rsidR="00BC40BA" w:rsidRPr="00312404" w:rsidRDefault="00F65B92" w:rsidP="00ED6C45">
      <w:pPr>
        <w:jc w:val="left"/>
        <w:rPr>
          <w:b/>
          <w:sz w:val="28"/>
          <w:szCs w:val="28"/>
          <w:lang w:val="fr-BE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EFFA9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312404" w:rsidRPr="00312404">
        <w:rPr>
          <w:b/>
          <w:sz w:val="32"/>
          <w:szCs w:val="32"/>
          <w:lang w:val="fr-BE"/>
        </w:rPr>
        <w:t>DX³ - Stop Arc disjoncteur différentie</w:t>
      </w:r>
      <w:r w:rsidR="00312404">
        <w:rPr>
          <w:b/>
          <w:sz w:val="32"/>
          <w:szCs w:val="32"/>
          <w:lang w:val="fr-BE"/>
        </w:rPr>
        <w:t>l</w:t>
      </w:r>
      <w:r w:rsidR="00ED6C45" w:rsidRPr="00312404">
        <w:rPr>
          <w:b/>
          <w:sz w:val="32"/>
          <w:szCs w:val="32"/>
          <w:lang w:val="fr-BE"/>
        </w:rPr>
        <w:br/>
      </w:r>
      <w:r w:rsidR="00312404">
        <w:rPr>
          <w:b/>
          <w:sz w:val="28"/>
          <w:szCs w:val="28"/>
          <w:lang w:val="fr-BE"/>
        </w:rPr>
        <w:t>Protection modulaire contre le</w:t>
      </w:r>
      <w:r w:rsidR="00FF5BF8">
        <w:rPr>
          <w:b/>
          <w:sz w:val="28"/>
          <w:szCs w:val="28"/>
          <w:lang w:val="fr-BE"/>
        </w:rPr>
        <w:t>s</w:t>
      </w:r>
      <w:r w:rsidR="00312404">
        <w:rPr>
          <w:b/>
          <w:sz w:val="28"/>
          <w:szCs w:val="28"/>
          <w:lang w:val="fr-BE"/>
        </w:rPr>
        <w:t xml:space="preserve"> défauts d’arc</w:t>
      </w:r>
    </w:p>
    <w:p w14:paraId="1D028E6D" w14:textId="77777777" w:rsidR="00ED6C45" w:rsidRPr="00312404" w:rsidRDefault="00ED6C45" w:rsidP="00ED6C45">
      <w:pPr>
        <w:rPr>
          <w:lang w:val="fr-BE"/>
        </w:rPr>
      </w:pPr>
    </w:p>
    <w:p w14:paraId="061EA3CC" w14:textId="717379EA" w:rsidR="00AD077C" w:rsidRDefault="00312404" w:rsidP="00AD077C">
      <w:pPr>
        <w:pStyle w:val="Heading1"/>
        <w:rPr>
          <w:lang w:val="fr-BE"/>
        </w:rPr>
      </w:pPr>
      <w:r>
        <w:rPr>
          <w:lang w:val="fr-BE"/>
        </w:rPr>
        <w:t>Utilisation</w:t>
      </w:r>
    </w:p>
    <w:p w14:paraId="7618F92B" w14:textId="1BF6569A" w:rsidR="00312404" w:rsidRDefault="009A4EF5" w:rsidP="00312404">
      <w:pPr>
        <w:rPr>
          <w:lang w:val="fr-BE"/>
        </w:rPr>
      </w:pPr>
      <w:r w:rsidRPr="009A4EF5">
        <w:rPr>
          <w:lang w:val="fr-BE"/>
        </w:rPr>
        <w:t xml:space="preserve">Le disjoncteur différentiel Stop Arc est un appareil modulaire qui assure non seulement une protection de lignes (surcharge/court-circuit) et de personnes (protection différentielle) mais également une protection contre les défauts d’arc (AFDD : Arc </w:t>
      </w:r>
      <w:proofErr w:type="spellStart"/>
      <w:r w:rsidRPr="009A4EF5">
        <w:rPr>
          <w:lang w:val="fr-BE"/>
        </w:rPr>
        <w:t>Fault</w:t>
      </w:r>
      <w:proofErr w:type="spellEnd"/>
      <w:r w:rsidRPr="009A4EF5">
        <w:rPr>
          <w:lang w:val="fr-BE"/>
        </w:rPr>
        <w:t xml:space="preserve"> </w:t>
      </w:r>
      <w:proofErr w:type="spellStart"/>
      <w:r w:rsidRPr="009A4EF5">
        <w:rPr>
          <w:lang w:val="fr-BE"/>
        </w:rPr>
        <w:t>Detection</w:t>
      </w:r>
      <w:proofErr w:type="spellEnd"/>
      <w:r w:rsidRPr="009A4EF5">
        <w:rPr>
          <w:lang w:val="fr-BE"/>
        </w:rPr>
        <w:t xml:space="preserve"> </w:t>
      </w:r>
      <w:proofErr w:type="spellStart"/>
      <w:r w:rsidRPr="009A4EF5">
        <w:rPr>
          <w:lang w:val="fr-BE"/>
        </w:rPr>
        <w:t>Device</w:t>
      </w:r>
      <w:proofErr w:type="spellEnd"/>
      <w:r w:rsidRPr="009A4EF5">
        <w:rPr>
          <w:lang w:val="fr-BE"/>
        </w:rPr>
        <w:t>). L’appareil détecte les défauts d’arc électrique résultant de l’endommagement des isolants ou d’une mauvaise connexion des câbles.</w:t>
      </w:r>
    </w:p>
    <w:p w14:paraId="54650366" w14:textId="46E156D9" w:rsidR="009A4EF5" w:rsidRDefault="009A4EF5" w:rsidP="009A4EF5">
      <w:pPr>
        <w:pStyle w:val="Heading1"/>
        <w:rPr>
          <w:lang w:val="fr-BE"/>
        </w:rPr>
      </w:pPr>
      <w:r>
        <w:rPr>
          <w:lang w:val="fr-BE"/>
        </w:rPr>
        <w:t>Conformité aux normes</w:t>
      </w:r>
      <w:bookmarkStart w:id="0" w:name="_GoBack"/>
      <w:bookmarkEnd w:id="0"/>
    </w:p>
    <w:p w14:paraId="5487AD1B" w14:textId="77777777" w:rsidR="00F20651" w:rsidRPr="00F20651" w:rsidRDefault="00F20651" w:rsidP="00F20651">
      <w:pPr>
        <w:rPr>
          <w:lang w:val="fr-BE"/>
        </w:rPr>
      </w:pPr>
      <w:r w:rsidRPr="00F20651">
        <w:rPr>
          <w:lang w:val="fr-BE"/>
        </w:rPr>
        <w:t>Le produit est conforme aux normes EN/IEC 62606 et EN/IEC 61009-1</w:t>
      </w:r>
    </w:p>
    <w:p w14:paraId="4DCDAC68" w14:textId="0FDFA876" w:rsidR="009A4EF5" w:rsidRDefault="00F20651" w:rsidP="00F20651">
      <w:pPr>
        <w:rPr>
          <w:lang w:val="fr-BE"/>
        </w:rPr>
      </w:pPr>
      <w:r w:rsidRPr="00F20651">
        <w:rPr>
          <w:lang w:val="fr-BE"/>
        </w:rPr>
        <w:t>Conformité à la directive 2002/95/CE du 27/01/03 dite « RoHS »</w:t>
      </w:r>
    </w:p>
    <w:p w14:paraId="124E6E3E" w14:textId="09FD0BA8" w:rsidR="00F20651" w:rsidRDefault="00F20651" w:rsidP="00F20651">
      <w:pPr>
        <w:pStyle w:val="Heading1"/>
        <w:rPr>
          <w:lang w:val="fr-BE"/>
        </w:rPr>
      </w:pPr>
      <w:r>
        <w:rPr>
          <w:lang w:val="fr-BE"/>
        </w:rPr>
        <w:t>Caractéristiques de construction</w:t>
      </w:r>
    </w:p>
    <w:p w14:paraId="23BF2B08" w14:textId="4FFA9298" w:rsidR="00A86188" w:rsidRPr="00A86188" w:rsidRDefault="00A86188" w:rsidP="00A86188">
      <w:pPr>
        <w:rPr>
          <w:lang w:val="fr-BE"/>
        </w:rPr>
      </w:pPr>
      <w:r w:rsidRPr="00A86188">
        <w:rPr>
          <w:lang w:val="fr-BE"/>
        </w:rPr>
        <w:t>Dispositif de détection de défaut d'arc associé avec un disjoncteur différentiel avec indication de position de contact</w:t>
      </w:r>
      <w:r>
        <w:rPr>
          <w:lang w:val="fr-BE"/>
        </w:rPr>
        <w:t>.</w:t>
      </w:r>
    </w:p>
    <w:p w14:paraId="77E2A35A" w14:textId="77777777" w:rsidR="00A86188" w:rsidRPr="00A86188" w:rsidRDefault="00A86188" w:rsidP="00A86188">
      <w:pPr>
        <w:pStyle w:val="ListParagraph"/>
        <w:numPr>
          <w:ilvl w:val="0"/>
          <w:numId w:val="29"/>
        </w:numPr>
        <w:rPr>
          <w:lang w:val="fr-BE"/>
        </w:rPr>
      </w:pPr>
      <w:r w:rsidRPr="00A86188">
        <w:rPr>
          <w:lang w:val="fr-BE"/>
        </w:rPr>
        <w:t>Largeur de 3 modules de 17,5mm</w:t>
      </w:r>
    </w:p>
    <w:p w14:paraId="4CA19E8B" w14:textId="77777777" w:rsidR="00A86188" w:rsidRPr="00A86188" w:rsidRDefault="00A86188" w:rsidP="00A86188">
      <w:pPr>
        <w:pStyle w:val="ListParagraph"/>
        <w:numPr>
          <w:ilvl w:val="0"/>
          <w:numId w:val="29"/>
        </w:numPr>
        <w:rPr>
          <w:lang w:val="fr-BE"/>
        </w:rPr>
      </w:pPr>
      <w:r w:rsidRPr="00A86188">
        <w:rPr>
          <w:lang w:val="fr-BE"/>
        </w:rPr>
        <w:t xml:space="preserve">Le degré de protection : IP20 – IK02 </w:t>
      </w:r>
    </w:p>
    <w:p w14:paraId="6F4C153B" w14:textId="77777777" w:rsidR="00A86188" w:rsidRPr="00A86188" w:rsidRDefault="00A86188" w:rsidP="00A86188">
      <w:pPr>
        <w:pStyle w:val="ListParagraph"/>
        <w:numPr>
          <w:ilvl w:val="0"/>
          <w:numId w:val="29"/>
        </w:numPr>
        <w:rPr>
          <w:lang w:val="fr-BE"/>
        </w:rPr>
      </w:pPr>
      <w:r w:rsidRPr="00A86188">
        <w:rPr>
          <w:lang w:val="fr-BE"/>
        </w:rPr>
        <w:t>Matière plastique : Polyamide et P.B.T, sans halogènes</w:t>
      </w:r>
    </w:p>
    <w:p w14:paraId="54D7775C" w14:textId="77777777" w:rsidR="00A86188" w:rsidRPr="00A86188" w:rsidRDefault="00A86188" w:rsidP="00A86188">
      <w:pPr>
        <w:pStyle w:val="ListParagraph"/>
        <w:numPr>
          <w:ilvl w:val="0"/>
          <w:numId w:val="29"/>
        </w:numPr>
        <w:rPr>
          <w:lang w:val="fr-BE"/>
        </w:rPr>
      </w:pPr>
      <w:r w:rsidRPr="00A86188">
        <w:rPr>
          <w:lang w:val="fr-BE"/>
        </w:rPr>
        <w:t>Tenue à l'épreuve du fil incandescent à 960°C, selon la norme IEC/EN 60898-1</w:t>
      </w:r>
    </w:p>
    <w:p w14:paraId="4BB4F250" w14:textId="5AD6A1C4" w:rsidR="00F20651" w:rsidRDefault="00A86188" w:rsidP="00A86188">
      <w:pPr>
        <w:pStyle w:val="ListParagraph"/>
        <w:numPr>
          <w:ilvl w:val="0"/>
          <w:numId w:val="29"/>
        </w:numPr>
        <w:rPr>
          <w:lang w:val="fr-BE"/>
        </w:rPr>
      </w:pPr>
      <w:r w:rsidRPr="00A86188">
        <w:rPr>
          <w:lang w:val="fr-BE"/>
        </w:rPr>
        <w:t>Température de fonctionnement : -25 à +40°C</w:t>
      </w:r>
    </w:p>
    <w:p w14:paraId="7708C028" w14:textId="60EBB37F" w:rsidR="00A86188" w:rsidRDefault="00A86188" w:rsidP="00A86188">
      <w:pPr>
        <w:pStyle w:val="Heading1"/>
        <w:rPr>
          <w:lang w:val="fr-BE"/>
        </w:rPr>
      </w:pPr>
      <w:r>
        <w:rPr>
          <w:lang w:val="fr-BE"/>
        </w:rPr>
        <w:t>Caractéristiques électriques</w:t>
      </w:r>
    </w:p>
    <w:p w14:paraId="5AEF4895" w14:textId="193D9B8C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>Le disjoncteur magnétothermique (protection de ligne et de personnes)</w:t>
      </w:r>
    </w:p>
    <w:p w14:paraId="28C06CD3" w14:textId="7CF9413C" w:rsidR="003A4441" w:rsidRPr="003A4441" w:rsidRDefault="003A4441" w:rsidP="003A4441">
      <w:pPr>
        <w:pStyle w:val="ListParagraph"/>
        <w:numPr>
          <w:ilvl w:val="1"/>
          <w:numId w:val="30"/>
        </w:numPr>
        <w:rPr>
          <w:lang w:val="fr-BE"/>
        </w:rPr>
      </w:pPr>
      <w:r>
        <w:rPr>
          <w:lang w:val="fr-BE"/>
        </w:rPr>
        <w:t>P</w:t>
      </w:r>
      <w:r w:rsidRPr="003A4441">
        <w:rPr>
          <w:lang w:val="fr-BE"/>
        </w:rPr>
        <w:t>olarité : 1P+N (pôle du neutre à droite)</w:t>
      </w:r>
    </w:p>
    <w:p w14:paraId="791B9551" w14:textId="596F20BF" w:rsidR="003A4441" w:rsidRPr="003A4441" w:rsidRDefault="003A4441" w:rsidP="003A4441">
      <w:pPr>
        <w:pStyle w:val="ListParagraph"/>
        <w:numPr>
          <w:ilvl w:val="1"/>
          <w:numId w:val="30"/>
        </w:numPr>
        <w:rPr>
          <w:lang w:val="fr-BE"/>
        </w:rPr>
      </w:pPr>
      <w:r>
        <w:rPr>
          <w:lang w:val="fr-BE"/>
        </w:rPr>
        <w:t>I</w:t>
      </w:r>
      <w:r w:rsidRPr="003A4441">
        <w:rPr>
          <w:lang w:val="fr-BE"/>
        </w:rPr>
        <w:t>ntensité nominale : 16 ou 20 A</w:t>
      </w:r>
    </w:p>
    <w:p w14:paraId="323C4D3F" w14:textId="44F6B7F4" w:rsidR="003A4441" w:rsidRPr="003A4441" w:rsidRDefault="003A4441" w:rsidP="003A4441">
      <w:pPr>
        <w:pStyle w:val="ListParagraph"/>
        <w:numPr>
          <w:ilvl w:val="1"/>
          <w:numId w:val="30"/>
        </w:numPr>
        <w:rPr>
          <w:lang w:val="fr-BE"/>
        </w:rPr>
      </w:pPr>
      <w:r>
        <w:rPr>
          <w:lang w:val="fr-BE"/>
        </w:rPr>
        <w:t>T</w:t>
      </w:r>
      <w:r w:rsidRPr="003A4441">
        <w:rPr>
          <w:lang w:val="fr-BE"/>
        </w:rPr>
        <w:t>ype C (déclenchement magnétique entre 5 et 10 In)</w:t>
      </w:r>
    </w:p>
    <w:p w14:paraId="4E6C3770" w14:textId="281D94A6" w:rsidR="003A4441" w:rsidRPr="003A4441" w:rsidRDefault="003A4441" w:rsidP="003A4441">
      <w:pPr>
        <w:pStyle w:val="ListParagraph"/>
        <w:numPr>
          <w:ilvl w:val="1"/>
          <w:numId w:val="30"/>
        </w:numPr>
        <w:rPr>
          <w:lang w:val="fr-BE"/>
        </w:rPr>
      </w:pPr>
      <w:r>
        <w:rPr>
          <w:lang w:val="fr-BE"/>
        </w:rPr>
        <w:t>P</w:t>
      </w:r>
      <w:r w:rsidRPr="003A4441">
        <w:rPr>
          <w:lang w:val="fr-BE"/>
        </w:rPr>
        <w:t xml:space="preserve">ouvoir de coupure </w:t>
      </w:r>
      <w:proofErr w:type="spellStart"/>
      <w:r w:rsidRPr="003A4441">
        <w:rPr>
          <w:lang w:val="fr-BE"/>
        </w:rPr>
        <w:t>Icn</w:t>
      </w:r>
      <w:proofErr w:type="spellEnd"/>
      <w:r w:rsidRPr="003A4441">
        <w:rPr>
          <w:lang w:val="fr-BE"/>
        </w:rPr>
        <w:t xml:space="preserve"> : 10000 A (IEC/EN 61009-1)</w:t>
      </w:r>
    </w:p>
    <w:p w14:paraId="28979D74" w14:textId="4DEF5C04" w:rsidR="003A4441" w:rsidRPr="003A4441" w:rsidRDefault="003A4441" w:rsidP="003A4441">
      <w:pPr>
        <w:pStyle w:val="ListParagraph"/>
        <w:numPr>
          <w:ilvl w:val="1"/>
          <w:numId w:val="30"/>
        </w:numPr>
        <w:rPr>
          <w:lang w:val="fr-BE"/>
        </w:rPr>
      </w:pPr>
      <w:r>
        <w:rPr>
          <w:lang w:val="fr-BE"/>
        </w:rPr>
        <w:t>A</w:t>
      </w:r>
      <w:r w:rsidRPr="003A4441">
        <w:rPr>
          <w:lang w:val="fr-BE"/>
        </w:rPr>
        <w:t>limentation : 250 Vac – 50 Hz</w:t>
      </w:r>
    </w:p>
    <w:p w14:paraId="5B8035D8" w14:textId="593563CE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>Le dispositif de défaut d’arc assure la protection contre les arcs séries et les arcs parallèles et les arcs à la terre et il est équipé de 2 voyants, qui ensemble indiquent l’état du circuit concerné.</w:t>
      </w:r>
    </w:p>
    <w:p w14:paraId="609E7CFA" w14:textId="7B5DC11A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>
        <w:rPr>
          <w:lang w:val="fr-BE"/>
        </w:rPr>
        <w:t>L</w:t>
      </w:r>
      <w:r w:rsidRPr="003A4441">
        <w:rPr>
          <w:lang w:val="fr-BE"/>
        </w:rPr>
        <w:t xml:space="preserve">ampe </w:t>
      </w:r>
      <w:proofErr w:type="spellStart"/>
      <w:r w:rsidRPr="003A4441">
        <w:rPr>
          <w:lang w:val="fr-BE"/>
        </w:rPr>
        <w:t>led</w:t>
      </w:r>
      <w:proofErr w:type="spellEnd"/>
      <w:r w:rsidRPr="003A4441">
        <w:rPr>
          <w:lang w:val="fr-BE"/>
        </w:rPr>
        <w:t xml:space="preserve"> (vert/rouge)</w:t>
      </w:r>
    </w:p>
    <w:p w14:paraId="3B2D7709" w14:textId="0582EA81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>
        <w:rPr>
          <w:lang w:val="fr-BE"/>
        </w:rPr>
        <w:t>I</w:t>
      </w:r>
      <w:r w:rsidRPr="003A4441">
        <w:rPr>
          <w:lang w:val="fr-BE"/>
        </w:rPr>
        <w:t>ndicateur mécanique</w:t>
      </w:r>
    </w:p>
    <w:p w14:paraId="5A3C638B" w14:textId="7DB6F8C2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 xml:space="preserve">Equipé d’une fonction autotest fonctionnant en permanence. </w:t>
      </w:r>
    </w:p>
    <w:p w14:paraId="59C3AC14" w14:textId="088BD62B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 xml:space="preserve">Tension d’isolement </w:t>
      </w:r>
      <w:proofErr w:type="spellStart"/>
      <w:r w:rsidRPr="003A4441">
        <w:rPr>
          <w:lang w:val="fr-BE"/>
        </w:rPr>
        <w:t>Ui</w:t>
      </w:r>
      <w:proofErr w:type="spellEnd"/>
      <w:r w:rsidRPr="003A4441">
        <w:rPr>
          <w:lang w:val="fr-BE"/>
        </w:rPr>
        <w:t xml:space="preserve"> : 250V</w:t>
      </w:r>
    </w:p>
    <w:p w14:paraId="42AD5A46" w14:textId="64D90CED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 xml:space="preserve">Tension assignée de tenue aux chocs </w:t>
      </w:r>
      <w:proofErr w:type="spellStart"/>
      <w:r w:rsidRPr="003A4441">
        <w:rPr>
          <w:lang w:val="fr-BE"/>
        </w:rPr>
        <w:t>Uimp</w:t>
      </w:r>
      <w:proofErr w:type="spellEnd"/>
      <w:r w:rsidRPr="003A4441">
        <w:rPr>
          <w:lang w:val="fr-BE"/>
        </w:rPr>
        <w:t xml:space="preserve"> : 4kV </w:t>
      </w:r>
    </w:p>
    <w:p w14:paraId="0F6D158F" w14:textId="0B806AB9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>Endurance électrique : testé à 10 000 manœuvres en charge (sous In x Cos φ 0,9)</w:t>
      </w:r>
    </w:p>
    <w:p w14:paraId="66E0D887" w14:textId="657D7B09" w:rsidR="003A4441" w:rsidRPr="003A4441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>Endurance mécanique : testé à 20 000 manœuvres</w:t>
      </w:r>
    </w:p>
    <w:p w14:paraId="4D51F138" w14:textId="787E4ECF" w:rsidR="00A86188" w:rsidRDefault="003A4441" w:rsidP="003A4441">
      <w:pPr>
        <w:pStyle w:val="ListParagraph"/>
        <w:numPr>
          <w:ilvl w:val="0"/>
          <w:numId w:val="30"/>
        </w:numPr>
        <w:rPr>
          <w:lang w:val="fr-BE"/>
        </w:rPr>
      </w:pPr>
      <w:r w:rsidRPr="003A4441">
        <w:rPr>
          <w:lang w:val="fr-BE"/>
        </w:rPr>
        <w:t>Puissance dissipée (sous In) : 6,6 W (16A) et 8,3 W (20A)</w:t>
      </w:r>
    </w:p>
    <w:p w14:paraId="20A25436" w14:textId="3CD066CB" w:rsidR="00906C35" w:rsidRDefault="009362A7" w:rsidP="00906C35">
      <w:pPr>
        <w:pStyle w:val="Heading1"/>
        <w:rPr>
          <w:lang w:val="fr-BE"/>
        </w:rPr>
      </w:pPr>
      <w:r>
        <w:rPr>
          <w:lang w:val="fr-BE"/>
        </w:rPr>
        <w:lastRenderedPageBreak/>
        <w:t>Installation</w:t>
      </w:r>
    </w:p>
    <w:p w14:paraId="7E1C5285" w14:textId="5FA0C675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L’appareil est monté sur un rail DIN 35 ou sur un rail symétrique EN/IEC 60715</w:t>
      </w:r>
    </w:p>
    <w:p w14:paraId="5D5CAE64" w14:textId="0FEBB78C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Le produit peut être équipé (à gauche) d’un contact auxiliaire et/ou de contact signal défaut.</w:t>
      </w:r>
    </w:p>
    <w:p w14:paraId="22F21680" w14:textId="1C0EBD05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 xml:space="preserve">Le fonctionnement est garanti dans toutes les positions </w:t>
      </w:r>
    </w:p>
    <w:p w14:paraId="3C55FA34" w14:textId="59704332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La protection différentielle doit être testée mensuellement par moyen du bouton test en face avant</w:t>
      </w:r>
    </w:p>
    <w:p w14:paraId="5D67BFE5" w14:textId="067D20D6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Lors d’un test d’isolation, les câbles de sortie doivent être déconnectés et la manette doit être mise dans la position OFF</w:t>
      </w:r>
    </w:p>
    <w:p w14:paraId="6BB432F2" w14:textId="563BE8CA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L’appareil est verrouillable par le montage d’un accessoire sur la manette et par l’utilisation d’un cadenas</w:t>
      </w:r>
    </w:p>
    <w:p w14:paraId="31749DAB" w14:textId="03DF5F72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Possibilité de plombage en position ouverte et fermée</w:t>
      </w:r>
    </w:p>
    <w:p w14:paraId="398957DB" w14:textId="1DE85CAD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L’alimentation du produit se fait par le bas</w:t>
      </w:r>
    </w:p>
    <w:p w14:paraId="3C6D9101" w14:textId="6139760D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Bornes équipées de bavettes empêchant de mettre un câble sous la borne, borne entrouverte ou fermée</w:t>
      </w:r>
    </w:p>
    <w:p w14:paraId="61183E9D" w14:textId="6FEAD6B7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Profondeur des bornes : 12 mm en haut / 13 mm en bas</w:t>
      </w:r>
    </w:p>
    <w:p w14:paraId="445F4F6C" w14:textId="77EA69B8" w:rsidR="00DE3869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Le couple de serrage conseillé est 2,5 Nm et les vis sont du type mixte (</w:t>
      </w:r>
      <w:proofErr w:type="spellStart"/>
      <w:r w:rsidRPr="00DE3869">
        <w:rPr>
          <w:lang w:val="fr-BE"/>
        </w:rPr>
        <w:t>Pozidriv</w:t>
      </w:r>
      <w:proofErr w:type="spellEnd"/>
      <w:r w:rsidRPr="00DE3869">
        <w:rPr>
          <w:lang w:val="fr-BE"/>
        </w:rPr>
        <w:t xml:space="preserve"> n°2 ou plat 5,5 mm)</w:t>
      </w:r>
    </w:p>
    <w:p w14:paraId="220457A3" w14:textId="1620333F" w:rsidR="009362A7" w:rsidRPr="00DE3869" w:rsidRDefault="00DE3869" w:rsidP="00DE3869">
      <w:pPr>
        <w:pStyle w:val="ListParagraph"/>
        <w:numPr>
          <w:ilvl w:val="0"/>
          <w:numId w:val="31"/>
        </w:numPr>
        <w:rPr>
          <w:lang w:val="fr-BE"/>
        </w:rPr>
      </w:pPr>
      <w:r w:rsidRPr="00DE3869">
        <w:rPr>
          <w:lang w:val="fr-BE"/>
        </w:rPr>
        <w:t>Repérage des circuits : à l’aide d’une étiquette insérée dans le porte-étiquette situé en face avant du produit</w:t>
      </w:r>
    </w:p>
    <w:sectPr w:rsidR="009362A7" w:rsidRPr="00DE3869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8951" w14:textId="77777777" w:rsidR="00253772" w:rsidRDefault="00253772" w:rsidP="00ED6C45">
      <w:r>
        <w:separator/>
      </w:r>
    </w:p>
  </w:endnote>
  <w:endnote w:type="continuationSeparator" w:id="0">
    <w:p w14:paraId="65BCCB7B" w14:textId="77777777" w:rsidR="00253772" w:rsidRDefault="00253772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2FA9" w14:textId="595BBC35" w:rsidR="00423B83" w:rsidRPr="007523A5" w:rsidRDefault="005A312F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fr-BE"/>
      </w:rPr>
    </w:pPr>
    <w:r w:rsidRPr="007523A5">
      <w:rPr>
        <w:sz w:val="20"/>
        <w:szCs w:val="20"/>
        <w:lang w:val="fr-BE"/>
      </w:rPr>
      <w:t>Des</w:t>
    </w:r>
    <w:r>
      <w:rPr>
        <w:sz w:val="20"/>
        <w:szCs w:val="20"/>
        <w:lang w:val="fr-BE"/>
      </w:rPr>
      <w:t>c</w:t>
    </w:r>
    <w:r w:rsidRPr="007523A5">
      <w:rPr>
        <w:sz w:val="20"/>
        <w:szCs w:val="20"/>
        <w:lang w:val="fr-BE"/>
      </w:rPr>
      <w:t>riptif</w:t>
    </w:r>
    <w:r w:rsidR="00EB6AE6" w:rsidRPr="007523A5">
      <w:rPr>
        <w:sz w:val="20"/>
        <w:szCs w:val="20"/>
        <w:lang w:val="fr-BE"/>
      </w:rPr>
      <w:t xml:space="preserve"> pour cahier des charges</w:t>
    </w:r>
    <w:r w:rsidR="00423B83" w:rsidRPr="007523A5">
      <w:rPr>
        <w:sz w:val="20"/>
        <w:szCs w:val="20"/>
        <w:lang w:val="fr-BE"/>
      </w:rPr>
      <w:tab/>
    </w:r>
    <w:r w:rsidR="00D47B03">
      <w:rPr>
        <w:sz w:val="20"/>
        <w:szCs w:val="20"/>
        <w:lang w:val="fr-BE"/>
      </w:rPr>
      <w:t>AFDD – Stop Arc</w:t>
    </w:r>
    <w:r w:rsidR="001E4F76" w:rsidRPr="007523A5">
      <w:rPr>
        <w:sz w:val="20"/>
        <w:szCs w:val="20"/>
        <w:lang w:val="fr-BE"/>
      </w:rPr>
      <w:tab/>
    </w:r>
    <w:r w:rsidR="00EB6AE6" w:rsidRPr="007523A5">
      <w:rPr>
        <w:sz w:val="20"/>
        <w:szCs w:val="20"/>
        <w:lang w:val="fr-BE"/>
      </w:rPr>
      <w:t xml:space="preserve">Dernière mis à jour </w:t>
    </w:r>
    <w:r w:rsidR="001E4F76" w:rsidRPr="007523A5">
      <w:rPr>
        <w:sz w:val="20"/>
        <w:szCs w:val="20"/>
        <w:lang w:val="fr-BE"/>
      </w:rPr>
      <w:t>: 0</w:t>
    </w:r>
    <w:r w:rsidR="00D47B03">
      <w:rPr>
        <w:sz w:val="20"/>
        <w:szCs w:val="20"/>
        <w:lang w:val="fr-BE"/>
      </w:rPr>
      <w:t>2</w:t>
    </w:r>
    <w:r w:rsidR="001E4F76" w:rsidRPr="007523A5">
      <w:rPr>
        <w:sz w:val="20"/>
        <w:szCs w:val="20"/>
        <w:lang w:val="fr-BE"/>
      </w:rPr>
      <w:t>/0</w:t>
    </w:r>
    <w:r w:rsidR="00D47B03">
      <w:rPr>
        <w:sz w:val="20"/>
        <w:szCs w:val="20"/>
        <w:lang w:val="fr-BE"/>
      </w:rPr>
      <w:t>9</w:t>
    </w:r>
    <w:r w:rsidR="00423B83" w:rsidRPr="007523A5">
      <w:rPr>
        <w:sz w:val="20"/>
        <w:szCs w:val="20"/>
        <w:lang w:val="fr-BE"/>
      </w:rPr>
      <w:t>/</w:t>
    </w:r>
    <w:r w:rsidR="001E4F76" w:rsidRPr="007523A5">
      <w:rPr>
        <w:sz w:val="20"/>
        <w:szCs w:val="20"/>
        <w:lang w:val="fr-BE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39F0" w14:textId="77777777" w:rsidR="00253772" w:rsidRDefault="00253772" w:rsidP="00ED6C45">
      <w:r>
        <w:separator/>
      </w:r>
    </w:p>
  </w:footnote>
  <w:footnote w:type="continuationSeparator" w:id="0">
    <w:p w14:paraId="052B9A56" w14:textId="77777777" w:rsidR="00253772" w:rsidRDefault="00253772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3A6C" w14:textId="77777777" w:rsidR="00423B83" w:rsidRPr="002B63EA" w:rsidRDefault="00417C82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EB9B30" wp14:editId="5FAD631E">
              <wp:simplePos x="0" y="0"/>
              <wp:positionH relativeFrom="column">
                <wp:posOffset>2929890</wp:posOffset>
              </wp:positionH>
              <wp:positionV relativeFrom="paragraph">
                <wp:posOffset>187960</wp:posOffset>
              </wp:positionV>
              <wp:extent cx="202692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26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92D1E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14.8pt" to="39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" strokeweight="1pt"/>
          </w:pict>
        </mc:Fallback>
      </mc:AlternateContent>
    </w:r>
    <w:r w:rsidR="001E4F76">
      <w:rPr>
        <w:noProof/>
      </w:rPr>
      <w:drawing>
        <wp:anchor distT="0" distB="0" distL="114300" distR="114300" simplePos="0" relativeHeight="251662336" behindDoc="1" locked="0" layoutInCell="1" allowOverlap="1" wp14:anchorId="19C05848" wp14:editId="03078898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0FD8CE" wp14:editId="21FD2969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A78CB" w14:textId="77777777" w:rsidR="00423B83" w:rsidRDefault="00417C82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FD8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" filled="f" stroked="f">
              <v:textbox style="mso-fit-shape-to-text:t" inset=",,,.3mm">
                <w:txbxContent>
                  <w:p w14:paraId="64EA78CB" w14:textId="77777777" w:rsidR="00423B83" w:rsidRDefault="00417C82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 w:rsidR="001E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5E4"/>
    <w:multiLevelType w:val="hybridMultilevel"/>
    <w:tmpl w:val="C99E6F9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FF3"/>
    <w:multiLevelType w:val="hybridMultilevel"/>
    <w:tmpl w:val="D304CD9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EF2"/>
    <w:multiLevelType w:val="hybridMultilevel"/>
    <w:tmpl w:val="368E6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A61"/>
    <w:multiLevelType w:val="hybridMultilevel"/>
    <w:tmpl w:val="784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671C7"/>
    <w:multiLevelType w:val="hybridMultilevel"/>
    <w:tmpl w:val="832CC18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99E"/>
    <w:multiLevelType w:val="hybridMultilevel"/>
    <w:tmpl w:val="8F3ECDB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E5019"/>
    <w:multiLevelType w:val="hybridMultilevel"/>
    <w:tmpl w:val="A89AC5E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09BD"/>
    <w:multiLevelType w:val="hybridMultilevel"/>
    <w:tmpl w:val="9308113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2C0E"/>
    <w:multiLevelType w:val="hybridMultilevel"/>
    <w:tmpl w:val="7BCEF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066F6"/>
    <w:multiLevelType w:val="hybridMultilevel"/>
    <w:tmpl w:val="560EBD6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97089C"/>
    <w:multiLevelType w:val="hybridMultilevel"/>
    <w:tmpl w:val="08DAFD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B3BAD"/>
    <w:multiLevelType w:val="hybridMultilevel"/>
    <w:tmpl w:val="5792EC7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B938BC"/>
    <w:multiLevelType w:val="hybridMultilevel"/>
    <w:tmpl w:val="13C0356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94677"/>
    <w:multiLevelType w:val="hybridMultilevel"/>
    <w:tmpl w:val="1910B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C11A5"/>
    <w:multiLevelType w:val="hybridMultilevel"/>
    <w:tmpl w:val="50B0D3C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 w15:restartNumberingAfterBreak="0">
    <w:nsid w:val="55A44131"/>
    <w:multiLevelType w:val="hybridMultilevel"/>
    <w:tmpl w:val="88D4A1F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00BBC"/>
    <w:multiLevelType w:val="hybridMultilevel"/>
    <w:tmpl w:val="9C18E9F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56F97"/>
    <w:multiLevelType w:val="hybridMultilevel"/>
    <w:tmpl w:val="97D6591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270525"/>
    <w:multiLevelType w:val="hybridMultilevel"/>
    <w:tmpl w:val="3A9CF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93484"/>
    <w:multiLevelType w:val="hybridMultilevel"/>
    <w:tmpl w:val="C01220B4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1966CE"/>
    <w:multiLevelType w:val="hybridMultilevel"/>
    <w:tmpl w:val="7AD6ED68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70B76"/>
    <w:multiLevelType w:val="hybridMultilevel"/>
    <w:tmpl w:val="B322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97018"/>
    <w:multiLevelType w:val="hybridMultilevel"/>
    <w:tmpl w:val="14C4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F7873"/>
    <w:multiLevelType w:val="hybridMultilevel"/>
    <w:tmpl w:val="6F0CBF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2522"/>
    <w:multiLevelType w:val="hybridMultilevel"/>
    <w:tmpl w:val="7E2A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35DD8"/>
    <w:multiLevelType w:val="hybridMultilevel"/>
    <w:tmpl w:val="CC44F5F0"/>
    <w:lvl w:ilvl="0" w:tplc="FFFFFFFF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 w15:restartNumberingAfterBreak="0">
    <w:nsid w:val="7CCD21A0"/>
    <w:multiLevelType w:val="hybridMultilevel"/>
    <w:tmpl w:val="711EF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12"/>
  </w:num>
  <w:num w:numId="5">
    <w:abstractNumId w:val="14"/>
  </w:num>
  <w:num w:numId="6">
    <w:abstractNumId w:val="7"/>
  </w:num>
  <w:num w:numId="7">
    <w:abstractNumId w:val="17"/>
  </w:num>
  <w:num w:numId="8">
    <w:abstractNumId w:val="1"/>
  </w:num>
  <w:num w:numId="9">
    <w:abstractNumId w:val="5"/>
  </w:num>
  <w:num w:numId="10">
    <w:abstractNumId w:val="19"/>
  </w:num>
  <w:num w:numId="11">
    <w:abstractNumId w:val="23"/>
  </w:num>
  <w:num w:numId="12">
    <w:abstractNumId w:val="16"/>
  </w:num>
  <w:num w:numId="13">
    <w:abstractNumId w:val="21"/>
  </w:num>
  <w:num w:numId="14">
    <w:abstractNumId w:val="15"/>
  </w:num>
  <w:num w:numId="15">
    <w:abstractNumId w:val="2"/>
  </w:num>
  <w:num w:numId="16">
    <w:abstractNumId w:val="30"/>
  </w:num>
  <w:num w:numId="17">
    <w:abstractNumId w:val="26"/>
  </w:num>
  <w:num w:numId="18">
    <w:abstractNumId w:val="28"/>
  </w:num>
  <w:num w:numId="19">
    <w:abstractNumId w:val="22"/>
  </w:num>
  <w:num w:numId="20">
    <w:abstractNumId w:val="13"/>
  </w:num>
  <w:num w:numId="21">
    <w:abstractNumId w:val="10"/>
  </w:num>
  <w:num w:numId="22">
    <w:abstractNumId w:val="6"/>
  </w:num>
  <w:num w:numId="23">
    <w:abstractNumId w:val="8"/>
  </w:num>
  <w:num w:numId="24">
    <w:abstractNumId w:val="18"/>
  </w:num>
  <w:num w:numId="25">
    <w:abstractNumId w:val="0"/>
  </w:num>
  <w:num w:numId="26">
    <w:abstractNumId w:val="29"/>
  </w:num>
  <w:num w:numId="27">
    <w:abstractNumId w:val="11"/>
  </w:num>
  <w:num w:numId="28">
    <w:abstractNumId w:val="9"/>
  </w:num>
  <w:num w:numId="29">
    <w:abstractNumId w:val="24"/>
  </w:num>
  <w:num w:numId="30">
    <w:abstractNumId w:val="4"/>
  </w:num>
  <w:num w:numId="3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A"/>
    <w:rsid w:val="00012009"/>
    <w:rsid w:val="00015D6E"/>
    <w:rsid w:val="000210A6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419A5"/>
    <w:rsid w:val="00253772"/>
    <w:rsid w:val="00273BC6"/>
    <w:rsid w:val="00281B98"/>
    <w:rsid w:val="002A77FF"/>
    <w:rsid w:val="002B36A6"/>
    <w:rsid w:val="002B63EA"/>
    <w:rsid w:val="002C0B71"/>
    <w:rsid w:val="002F6C09"/>
    <w:rsid w:val="00301B0A"/>
    <w:rsid w:val="00312404"/>
    <w:rsid w:val="003208CB"/>
    <w:rsid w:val="003212AF"/>
    <w:rsid w:val="00324936"/>
    <w:rsid w:val="003500BD"/>
    <w:rsid w:val="00353EE3"/>
    <w:rsid w:val="003916D3"/>
    <w:rsid w:val="003A4441"/>
    <w:rsid w:val="00407A09"/>
    <w:rsid w:val="00417C82"/>
    <w:rsid w:val="00423B83"/>
    <w:rsid w:val="004256A4"/>
    <w:rsid w:val="004726DB"/>
    <w:rsid w:val="00473090"/>
    <w:rsid w:val="00486608"/>
    <w:rsid w:val="00492F5A"/>
    <w:rsid w:val="00496DFB"/>
    <w:rsid w:val="004F608B"/>
    <w:rsid w:val="00516B4B"/>
    <w:rsid w:val="005214B0"/>
    <w:rsid w:val="00561D4D"/>
    <w:rsid w:val="005A312F"/>
    <w:rsid w:val="005A6D07"/>
    <w:rsid w:val="005B102C"/>
    <w:rsid w:val="005F5FF2"/>
    <w:rsid w:val="00615992"/>
    <w:rsid w:val="00635236"/>
    <w:rsid w:val="006668B6"/>
    <w:rsid w:val="006734D1"/>
    <w:rsid w:val="006956DB"/>
    <w:rsid w:val="006D790E"/>
    <w:rsid w:val="006E5E84"/>
    <w:rsid w:val="006F0273"/>
    <w:rsid w:val="006F1024"/>
    <w:rsid w:val="00704A63"/>
    <w:rsid w:val="0070703A"/>
    <w:rsid w:val="00747E57"/>
    <w:rsid w:val="0075144E"/>
    <w:rsid w:val="00751949"/>
    <w:rsid w:val="007523A5"/>
    <w:rsid w:val="00766A73"/>
    <w:rsid w:val="00773479"/>
    <w:rsid w:val="007F4DBB"/>
    <w:rsid w:val="00801ABD"/>
    <w:rsid w:val="00821D2C"/>
    <w:rsid w:val="008B1C88"/>
    <w:rsid w:val="008F023F"/>
    <w:rsid w:val="00906C35"/>
    <w:rsid w:val="009362A7"/>
    <w:rsid w:val="009977E2"/>
    <w:rsid w:val="009A3E3E"/>
    <w:rsid w:val="009A4EF5"/>
    <w:rsid w:val="00A86188"/>
    <w:rsid w:val="00A94335"/>
    <w:rsid w:val="00AD077C"/>
    <w:rsid w:val="00B029AA"/>
    <w:rsid w:val="00B12C6B"/>
    <w:rsid w:val="00B32ED7"/>
    <w:rsid w:val="00BC40BA"/>
    <w:rsid w:val="00BD14D8"/>
    <w:rsid w:val="00BF6ECA"/>
    <w:rsid w:val="00C25BA6"/>
    <w:rsid w:val="00C35182"/>
    <w:rsid w:val="00C752C8"/>
    <w:rsid w:val="00D00F7F"/>
    <w:rsid w:val="00D439FA"/>
    <w:rsid w:val="00D47B03"/>
    <w:rsid w:val="00D60308"/>
    <w:rsid w:val="00D6530B"/>
    <w:rsid w:val="00D83565"/>
    <w:rsid w:val="00DA5FB0"/>
    <w:rsid w:val="00DC36C6"/>
    <w:rsid w:val="00DD10A0"/>
    <w:rsid w:val="00DE3869"/>
    <w:rsid w:val="00E32C87"/>
    <w:rsid w:val="00E81E3E"/>
    <w:rsid w:val="00EB6AE6"/>
    <w:rsid w:val="00ED6C45"/>
    <w:rsid w:val="00F20651"/>
    <w:rsid w:val="00F65B92"/>
    <w:rsid w:val="00FB0EB7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2946-03D2-4E55-87E6-929F85C8CA2B}">
  <ds:schemaRefs>
    <ds:schemaRef ds:uri="6d321a01-7d22-4fbd-8d1f-910c5c43dc1c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51919c7-4c6c-4c19-b5eb-27527eea163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FBF6B-B7F1-41C3-9371-3E8CE669F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14</cp:revision>
  <dcterms:created xsi:type="dcterms:W3CDTF">2020-09-02T08:33:00Z</dcterms:created>
  <dcterms:modified xsi:type="dcterms:W3CDTF">2020-09-02T08:38:00Z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